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7EC9D" w14:textId="47FDFBC2" w:rsidR="004E7C3F" w:rsidRPr="000404EF" w:rsidRDefault="004E7C3F" w:rsidP="004E7C3F">
      <w:pPr>
        <w:pStyle w:val="3GPPHeader"/>
        <w:spacing w:after="60"/>
        <w:rPr>
          <w:lang w:val="en-US"/>
        </w:rPr>
      </w:pPr>
      <w:r w:rsidRPr="000404EF">
        <w:rPr>
          <w:lang w:val="en-US"/>
        </w:rPr>
        <w:t xml:space="preserve">3GPP TSG-RAN WG2 </w:t>
      </w:r>
      <w:bookmarkStart w:id="0" w:name="_GoBack"/>
      <w:bookmarkEnd w:id="0"/>
      <w:r>
        <w:rPr>
          <w:lang w:val="en-US"/>
        </w:rPr>
        <w:t>NR Ad Hoc</w:t>
      </w:r>
      <w:r w:rsidRPr="000404EF">
        <w:rPr>
          <w:lang w:val="en-US"/>
        </w:rPr>
        <w:tab/>
        <w:t xml:space="preserve">Tdoc </w:t>
      </w:r>
      <w:r w:rsidR="00EA6383" w:rsidRPr="00EA6383">
        <w:rPr>
          <w:lang w:val="en-US"/>
        </w:rPr>
        <w:t>R2-1700545</w:t>
      </w:r>
    </w:p>
    <w:p w14:paraId="4C7CFB28" w14:textId="77777777" w:rsidR="004E7C3F" w:rsidRDefault="004E7C3F" w:rsidP="004E7C3F">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71BC093E" w14:textId="77777777" w:rsidR="004E7C3F" w:rsidRPr="00CE0424" w:rsidRDefault="004E7C3F" w:rsidP="004E7C3F">
      <w:pPr>
        <w:pStyle w:val="3GPPHeader"/>
      </w:pPr>
    </w:p>
    <w:p w14:paraId="55BB75F3" w14:textId="5D1879C4" w:rsidR="004E7C3F" w:rsidRPr="005D641B" w:rsidRDefault="004E7C3F" w:rsidP="004E7C3F">
      <w:pPr>
        <w:pStyle w:val="3GPPHeader"/>
        <w:rPr>
          <w:sz w:val="22"/>
          <w:szCs w:val="22"/>
          <w:lang w:val="en-US"/>
        </w:rPr>
      </w:pPr>
      <w:r w:rsidRPr="005D641B">
        <w:rPr>
          <w:sz w:val="22"/>
          <w:szCs w:val="22"/>
          <w:lang w:val="en-US"/>
        </w:rPr>
        <w:t>Agenda Item:</w:t>
      </w:r>
      <w:r w:rsidRPr="005D641B">
        <w:rPr>
          <w:sz w:val="22"/>
          <w:szCs w:val="22"/>
          <w:lang w:val="en-US"/>
        </w:rPr>
        <w:tab/>
      </w:r>
      <w:r w:rsidR="005D641B" w:rsidRPr="005D641B">
        <w:rPr>
          <w:sz w:val="22"/>
          <w:szCs w:val="22"/>
          <w:lang w:val="en-US"/>
        </w:rPr>
        <w:t>3.3.1.1.4</w:t>
      </w:r>
    </w:p>
    <w:p w14:paraId="13A8D0CF" w14:textId="77777777" w:rsidR="004E7C3F" w:rsidRPr="00CE0424" w:rsidRDefault="004E7C3F" w:rsidP="004E7C3F">
      <w:pPr>
        <w:pStyle w:val="3GPPHeader"/>
        <w:rPr>
          <w:sz w:val="22"/>
          <w:szCs w:val="22"/>
        </w:rPr>
      </w:pPr>
      <w:r>
        <w:rPr>
          <w:sz w:val="22"/>
          <w:szCs w:val="22"/>
        </w:rPr>
        <w:t>Source:</w:t>
      </w:r>
      <w:r w:rsidRPr="00CE0424">
        <w:rPr>
          <w:sz w:val="22"/>
          <w:szCs w:val="22"/>
        </w:rPr>
        <w:tab/>
        <w:t>Ericsson</w:t>
      </w:r>
    </w:p>
    <w:p w14:paraId="4E5F4D65" w14:textId="5BA0426E" w:rsidR="004E7C3F" w:rsidRPr="00CE0424" w:rsidRDefault="004E7C3F" w:rsidP="004E7C3F">
      <w:pPr>
        <w:pStyle w:val="3GPPHeader"/>
        <w:rPr>
          <w:sz w:val="22"/>
          <w:szCs w:val="22"/>
        </w:rPr>
      </w:pPr>
      <w:r>
        <w:rPr>
          <w:sz w:val="22"/>
          <w:szCs w:val="22"/>
        </w:rPr>
        <w:t>Title:</w:t>
      </w:r>
      <w:r w:rsidRPr="00CE0424">
        <w:rPr>
          <w:sz w:val="22"/>
          <w:szCs w:val="22"/>
        </w:rPr>
        <w:tab/>
      </w:r>
      <w:r w:rsidR="005D641B">
        <w:rPr>
          <w:sz w:val="22"/>
          <w:szCs w:val="22"/>
        </w:rPr>
        <w:t>P</w:t>
      </w:r>
      <w:r>
        <w:rPr>
          <w:sz w:val="22"/>
          <w:szCs w:val="22"/>
        </w:rPr>
        <w:t xml:space="preserve">ing pong </w:t>
      </w:r>
      <w:r w:rsidR="005D641B">
        <w:rPr>
          <w:sz w:val="22"/>
          <w:szCs w:val="22"/>
        </w:rPr>
        <w:t xml:space="preserve">handovers upon </w:t>
      </w:r>
      <w:r>
        <w:rPr>
          <w:sz w:val="22"/>
          <w:szCs w:val="22"/>
        </w:rPr>
        <w:t>state transitions</w:t>
      </w:r>
    </w:p>
    <w:p w14:paraId="3928FE5F" w14:textId="77777777" w:rsidR="004E7C3F" w:rsidRPr="00CE0424" w:rsidRDefault="004E7C3F" w:rsidP="004E7C3F">
      <w:pPr>
        <w:pStyle w:val="3GPPHeader"/>
        <w:rPr>
          <w:sz w:val="22"/>
          <w:szCs w:val="22"/>
        </w:rPr>
      </w:pPr>
      <w:r w:rsidRPr="00CE0424">
        <w:rPr>
          <w:sz w:val="22"/>
          <w:szCs w:val="22"/>
        </w:rPr>
        <w:t>Document for:</w:t>
      </w:r>
      <w:r w:rsidRPr="00CE0424">
        <w:rPr>
          <w:sz w:val="22"/>
          <w:szCs w:val="22"/>
        </w:rPr>
        <w:tab/>
      </w:r>
      <w:r w:rsidRPr="005D641B">
        <w:rPr>
          <w:sz w:val="22"/>
          <w:szCs w:val="22"/>
        </w:rPr>
        <w:t>Discussion, Decision</w:t>
      </w:r>
    </w:p>
    <w:p w14:paraId="18BE2580" w14:textId="77777777" w:rsidR="00E90E49" w:rsidRDefault="00E90E49" w:rsidP="00CE0424">
      <w:pPr>
        <w:pStyle w:val="Heading1"/>
      </w:pPr>
      <w:r w:rsidRPr="00CE0424">
        <w:t>Introduction</w:t>
      </w:r>
    </w:p>
    <w:p w14:paraId="609E9D3A" w14:textId="18A81025" w:rsidR="00BC6218" w:rsidRPr="00BC6218" w:rsidRDefault="00BC6218" w:rsidP="008D5557">
      <w:pPr>
        <w:pStyle w:val="BodyText"/>
      </w:pPr>
      <w:r>
        <w:t>During RAN2#94, regarding inter-gNB mobility in NR, one of the agreed requirements was the following:</w:t>
      </w:r>
    </w:p>
    <w:p w14:paraId="4B75B369"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Agreed requirements</w:t>
      </w:r>
    </w:p>
    <w:p w14:paraId="637CEA24" w14:textId="21EFC710"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4A2F505A"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b/>
        <w:t>4</w:t>
      </w:r>
      <w:r>
        <w:tab/>
        <w:t>Minimise context move as a consequence of UE based mobility.</w:t>
      </w:r>
    </w:p>
    <w:p w14:paraId="06B467D0" w14:textId="51FF567A"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2B4F9FB6" w14:textId="77777777" w:rsidR="00BC6218" w:rsidRDefault="00BC6218" w:rsidP="00BC6218">
      <w:pPr>
        <w:pStyle w:val="BodyText"/>
        <w:rPr>
          <w:rFonts w:cs="Arial"/>
        </w:rPr>
      </w:pPr>
    </w:p>
    <w:p w14:paraId="0472381E" w14:textId="620E0C2F" w:rsidR="00F87D63" w:rsidRDefault="005D641B" w:rsidP="00991EE9">
      <w:pPr>
        <w:pStyle w:val="BodyText"/>
        <w:rPr>
          <w:rFonts w:cs="Arial"/>
        </w:rPr>
      </w:pPr>
      <w:r>
        <w:rPr>
          <w:rFonts w:cs="Arial"/>
        </w:rPr>
        <w:t xml:space="preserve">As in a previous </w:t>
      </w:r>
      <w:r w:rsidR="00BC6218">
        <w:rPr>
          <w:rFonts w:cs="Arial"/>
        </w:rPr>
        <w:t xml:space="preserve">contribution, we </w:t>
      </w:r>
      <w:r>
        <w:rPr>
          <w:rFonts w:cs="Arial"/>
        </w:rPr>
        <w:t xml:space="preserve">explain the potential issues of ping-pong handovers upon state transitions. We then </w:t>
      </w:r>
      <w:r w:rsidR="00BC6218">
        <w:rPr>
          <w:rFonts w:cs="Arial"/>
        </w:rPr>
        <w:t>propose an updated version for that requirement, a</w:t>
      </w:r>
      <w:r>
        <w:rPr>
          <w:rFonts w:cs="Arial"/>
        </w:rPr>
        <w:t xml:space="preserve">s highlighted in R2-164725 [2]. We also </w:t>
      </w:r>
      <w:r w:rsidR="00BC6218">
        <w:rPr>
          <w:rFonts w:cs="Arial"/>
        </w:rPr>
        <w:t>discuss possible solutions to solve t</w:t>
      </w:r>
      <w:r>
        <w:rPr>
          <w:rFonts w:cs="Arial"/>
        </w:rPr>
        <w:t>he potential issue.</w:t>
      </w:r>
    </w:p>
    <w:p w14:paraId="49746B15" w14:textId="51D6F40B" w:rsidR="005D641B" w:rsidRDefault="005D641B" w:rsidP="00991EE9">
      <w:pPr>
        <w:pStyle w:val="BodyText"/>
        <w:rPr>
          <w:rFonts w:cs="Arial"/>
        </w:rPr>
      </w:pPr>
      <w:r>
        <w:rPr>
          <w:rFonts w:cs="Arial"/>
        </w:rPr>
        <w:t>That has been presented as a potential problem of using different and/or additional reference signals (RSs) for RRM measurements in RRC_CONNECTED and RRC_IDLE. Simulation results show that i</w:t>
      </w:r>
    </w:p>
    <w:p w14:paraId="4A5501CD" w14:textId="77777777" w:rsidR="005D641B" w:rsidRPr="00732DB0" w:rsidRDefault="005D641B" w:rsidP="00991EE9">
      <w:pPr>
        <w:pStyle w:val="BodyText"/>
        <w:rPr>
          <w:rFonts w:cs="Arial"/>
        </w:rPr>
      </w:pPr>
    </w:p>
    <w:p w14:paraId="1BC0475F" w14:textId="2CF7FAE1" w:rsidR="006425C6" w:rsidRDefault="004000E8" w:rsidP="006425C6">
      <w:pPr>
        <w:pStyle w:val="Heading1"/>
      </w:pPr>
      <w:bookmarkStart w:id="1" w:name="_Ref178064866"/>
      <w:r w:rsidRPr="00CE0424">
        <w:t>Discussion</w:t>
      </w:r>
      <w:bookmarkEnd w:id="1"/>
    </w:p>
    <w:p w14:paraId="49B6D254" w14:textId="02CAD3E5" w:rsidR="00BC6218" w:rsidRDefault="00BC6218" w:rsidP="00116A99">
      <w:pPr>
        <w:pStyle w:val="Heading2"/>
      </w:pPr>
      <w:r>
        <w:t xml:space="preserve">eNB ping-pong </w:t>
      </w:r>
      <w:r w:rsidR="0020787F">
        <w:t>in</w:t>
      </w:r>
      <w:r>
        <w:t xml:space="preserve"> state transitions</w:t>
      </w:r>
    </w:p>
    <w:p w14:paraId="5FF46BCF" w14:textId="2E46DBF5" w:rsidR="00116A99" w:rsidRDefault="00116A99" w:rsidP="00BC6218">
      <w:pPr>
        <w:pStyle w:val="BodyText"/>
        <w:rPr>
          <w:rFonts w:cs="Arial"/>
        </w:rPr>
      </w:pPr>
      <w:r>
        <w:rPr>
          <w:rFonts w:cs="Arial"/>
        </w:rPr>
        <w:t>In LTE, an eNB can trigger a transition from RRC CONNECTED to RRC IDLE based on different criteria e.g. inactivity timers. Once in RRC IDLE</w:t>
      </w:r>
      <w:r w:rsidR="005C0333">
        <w:rPr>
          <w:rFonts w:cs="Arial"/>
        </w:rPr>
        <w:t>,</w:t>
      </w:r>
      <w:r>
        <w:rPr>
          <w:rFonts w:cs="Arial"/>
        </w:rPr>
        <w:t xml:space="preserve"> the UE can perform cell reselection and, depending on the way the network configure</w:t>
      </w:r>
      <w:r w:rsidR="0069296E">
        <w:rPr>
          <w:rFonts w:cs="Arial"/>
        </w:rPr>
        <w:t>s</w:t>
      </w:r>
      <w:r>
        <w:rPr>
          <w:rFonts w:cs="Arial"/>
        </w:rPr>
        <w:t xml:space="preserve"> </w:t>
      </w:r>
      <w:r w:rsidR="0069296E">
        <w:rPr>
          <w:rFonts w:cs="Arial"/>
        </w:rPr>
        <w:t xml:space="preserve">the </w:t>
      </w:r>
      <w:r>
        <w:rPr>
          <w:rFonts w:cs="Arial"/>
        </w:rPr>
        <w:t xml:space="preserve">cell reselection thresholds, the UE may end up reselecting </w:t>
      </w:r>
      <w:r w:rsidR="0069296E">
        <w:rPr>
          <w:rFonts w:cs="Arial"/>
        </w:rPr>
        <w:t>the</w:t>
      </w:r>
      <w:r>
        <w:rPr>
          <w:rFonts w:cs="Arial"/>
        </w:rPr>
        <w:t xml:space="preserve"> cell that belongs to a different eNB.</w:t>
      </w:r>
      <w:r w:rsidR="00593224">
        <w:rPr>
          <w:rFonts w:cs="Arial"/>
        </w:rPr>
        <w:t xml:space="preserve"> These different thresholds could be used e.g. in scenarios requiring load balancing. </w:t>
      </w:r>
      <w:r>
        <w:rPr>
          <w:rFonts w:cs="Arial"/>
        </w:rPr>
        <w:t xml:space="preserve">At the moment </w:t>
      </w:r>
      <w:r w:rsidR="0069296E">
        <w:rPr>
          <w:rFonts w:cs="Arial"/>
        </w:rPr>
        <w:t xml:space="preserve">when </w:t>
      </w:r>
      <w:r>
        <w:rPr>
          <w:rFonts w:cs="Arial"/>
        </w:rPr>
        <w:t>the UE resumes its RRC connection</w:t>
      </w:r>
      <w:r w:rsidR="0069296E">
        <w:rPr>
          <w:rFonts w:cs="Arial"/>
        </w:rPr>
        <w:t>,</w:t>
      </w:r>
      <w:r>
        <w:rPr>
          <w:rFonts w:cs="Arial"/>
        </w:rPr>
        <w:t xml:space="preserve"> it start</w:t>
      </w:r>
      <w:r w:rsidR="0069296E">
        <w:rPr>
          <w:rFonts w:cs="Arial"/>
        </w:rPr>
        <w:t>s</w:t>
      </w:r>
      <w:r>
        <w:rPr>
          <w:rFonts w:cs="Arial"/>
        </w:rPr>
        <w:t xml:space="preserve"> to perform measurements and send reports that could trigger handovers back to the eNB </w:t>
      </w:r>
      <w:r w:rsidR="0069296E">
        <w:rPr>
          <w:rFonts w:cs="Arial"/>
        </w:rPr>
        <w:t xml:space="preserve">that </w:t>
      </w:r>
      <w:r>
        <w:rPr>
          <w:rFonts w:cs="Arial"/>
        </w:rPr>
        <w:t>the UE was connected</w:t>
      </w:r>
      <w:r w:rsidR="005C0333">
        <w:rPr>
          <w:rFonts w:cs="Arial"/>
        </w:rPr>
        <w:t xml:space="preserve"> to</w:t>
      </w:r>
      <w:r>
        <w:rPr>
          <w:rFonts w:cs="Arial"/>
        </w:rPr>
        <w:t xml:space="preserve"> previously which could be seen as a</w:t>
      </w:r>
      <w:r w:rsidR="005C0333">
        <w:rPr>
          <w:rFonts w:cs="Arial"/>
        </w:rPr>
        <w:t>n</w:t>
      </w:r>
      <w:r>
        <w:rPr>
          <w:rFonts w:cs="Arial"/>
        </w:rPr>
        <w:t xml:space="preserve"> eNB ping-pong at IDLE to CONNECTED state transitions.</w:t>
      </w:r>
    </w:p>
    <w:p w14:paraId="5E532081" w14:textId="07C9BB2C" w:rsidR="005E34A4" w:rsidRDefault="00116A99" w:rsidP="00BC6218">
      <w:pPr>
        <w:pStyle w:val="BodyText"/>
        <w:rPr>
          <w:rFonts w:cs="Arial"/>
        </w:rPr>
      </w:pPr>
      <w:r>
        <w:rPr>
          <w:rFonts w:cs="Arial"/>
        </w:rPr>
        <w:t xml:space="preserve">Such a problem would introduce unnecessary signalling over the air interface every time a state transition occurs. As in LTE, it is likely that transitions will likely occur quite </w:t>
      </w:r>
      <w:r w:rsidR="00ED3CA7">
        <w:rPr>
          <w:rFonts w:cs="Arial"/>
        </w:rPr>
        <w:t>often</w:t>
      </w:r>
      <w:r w:rsidR="005C0333">
        <w:rPr>
          <w:rFonts w:cs="Arial"/>
        </w:rPr>
        <w:t xml:space="preserve"> in NR too</w:t>
      </w:r>
      <w:r w:rsidR="00ED3CA7">
        <w:rPr>
          <w:rFonts w:cs="Arial"/>
        </w:rPr>
        <w:t xml:space="preserve">. Therefore, NR should support mechanisms to avoid inter gNB mobility upon state transitions between CONNECTED and IDLE (and/or inactive ‘state’). </w:t>
      </w:r>
    </w:p>
    <w:p w14:paraId="3A9C2A54" w14:textId="6F7121CA" w:rsidR="00BE54A5" w:rsidRDefault="00BE54A5" w:rsidP="00BC6218">
      <w:pPr>
        <w:pStyle w:val="BodyText"/>
        <w:rPr>
          <w:rFonts w:cs="Arial"/>
        </w:rPr>
      </w:pPr>
      <w:r>
        <w:rPr>
          <w:rFonts w:cs="Arial"/>
        </w:rPr>
        <w:t xml:space="preserve">In addition to the handover signalling over the air interface, the scenario would also generate unnecessary network signalling over some X2-like interface. When the </w:t>
      </w:r>
      <w:r w:rsidR="00274256">
        <w:rPr>
          <w:rFonts w:cs="Arial"/>
        </w:rPr>
        <w:t>UE moves to IDLE in eNB-1 the context is stored there. When the UE reselects a cell in eNB-2</w:t>
      </w:r>
      <w:r w:rsidR="005C0333">
        <w:rPr>
          <w:rFonts w:cs="Arial"/>
        </w:rPr>
        <w:t>,</w:t>
      </w:r>
      <w:r w:rsidR="00274256">
        <w:rPr>
          <w:rFonts w:cs="Arial"/>
        </w:rPr>
        <w:t xml:space="preserve"> the UE will try to resume, which will trigger a context fetching over X2. Once the UE resumes its RRC connection and a handover is triggered, the context will be moved again, which could be referred as a double context move.</w:t>
      </w:r>
    </w:p>
    <w:p w14:paraId="601FB154" w14:textId="5936AF0C" w:rsidR="00274256" w:rsidRDefault="00593224" w:rsidP="00BC6218">
      <w:pPr>
        <w:pStyle w:val="BodyText"/>
        <w:rPr>
          <w:rFonts w:cs="Arial"/>
        </w:rPr>
      </w:pPr>
      <w:r>
        <w:rPr>
          <w:rFonts w:cs="Arial"/>
        </w:rPr>
        <w:t>The current requirement, as highlighted in the introduction, only captures the second aspect. Therefore, as highlighted in R2-164725 [2], we also propose an update to requirement 4 as follows:</w:t>
      </w:r>
    </w:p>
    <w:p w14:paraId="3D06414F" w14:textId="406D1ADC" w:rsidR="00A00796" w:rsidRPr="00DB0A9F" w:rsidRDefault="00A00796" w:rsidP="00A00796">
      <w:pPr>
        <w:pStyle w:val="TOC1"/>
        <w:jc w:val="both"/>
        <w:rPr>
          <w:rFonts w:ascii="Calibri" w:eastAsia="SimSun" w:hAnsi="Calibri"/>
          <w:b w:val="0"/>
          <w:sz w:val="22"/>
        </w:rPr>
      </w:pPr>
      <w:r>
        <w:lastRenderedPageBreak/>
        <w:t>Proposal 1</w:t>
      </w:r>
      <w:r w:rsidRPr="00DB0A9F">
        <w:rPr>
          <w:rFonts w:ascii="Calibri" w:eastAsia="SimSun" w:hAnsi="Calibri"/>
          <w:b w:val="0"/>
          <w:sz w:val="22"/>
        </w:rPr>
        <w:tab/>
      </w:r>
      <w:r w:rsidRPr="00A00796">
        <w:t>NR should support mechanisms to avoid inter gNB mobility and double context move upon state transitions between CONNECTED and IDLE</w:t>
      </w:r>
      <w:r>
        <w:t>/inactive ‘state’</w:t>
      </w:r>
      <w:r w:rsidRPr="00A00796">
        <w:t xml:space="preserve">.  </w:t>
      </w:r>
    </w:p>
    <w:p w14:paraId="58BF3BF2" w14:textId="77777777" w:rsidR="00593224" w:rsidRPr="00ED3CA7" w:rsidRDefault="00593224" w:rsidP="00593224">
      <w:pPr>
        <w:rPr>
          <w:b/>
        </w:rPr>
      </w:pPr>
    </w:p>
    <w:p w14:paraId="5C0AFDE0" w14:textId="09CC4BA1" w:rsidR="00F9351C" w:rsidRDefault="00F9351C" w:rsidP="00593224">
      <w:pPr>
        <w:pStyle w:val="Heading2"/>
      </w:pPr>
      <w:r>
        <w:t>Scenarios with different coverage in IDLE and CONNECTED</w:t>
      </w:r>
    </w:p>
    <w:p w14:paraId="28AB9E5F" w14:textId="5E11E93A" w:rsidR="00593224" w:rsidRDefault="00593224" w:rsidP="00593224">
      <w:r>
        <w:t>The problem describe</w:t>
      </w:r>
      <w:r w:rsidR="002D21A0">
        <w:t>d</w:t>
      </w:r>
      <w:r>
        <w:t xml:space="preserve"> above could occur in scenario</w:t>
      </w:r>
      <w:r w:rsidR="005C0333">
        <w:t>s</w:t>
      </w:r>
      <w:r>
        <w:t xml:space="preserve"> where the coverage in IDLE differs from the coverage in CONNECTED, from a UE perspective. In LTE, a feature called Cell Range Expansion (CRE) was used to extend the coverage area of a cell in connected mode. This feature was introduced as a mechanism for active mode load sharing between different cells. A cell configures the UE with additional offset</w:t>
      </w:r>
      <w:r w:rsidR="005C0333">
        <w:t xml:space="preserve">, </w:t>
      </w:r>
      <w:r>
        <w:t>via A3 offset or</w:t>
      </w:r>
      <w:r w:rsidR="005C0333">
        <w:t xml:space="preserve"> </w:t>
      </w:r>
      <w:r>
        <w:t>cell Individual Offset</w:t>
      </w:r>
      <w:r w:rsidR="005C0333">
        <w:t xml:space="preserve"> (CIO),</w:t>
      </w:r>
      <w:r>
        <w:t xml:space="preserve"> that the UE could use to compare the signal strength</w:t>
      </w:r>
      <w:r w:rsidR="005C0333">
        <w:t>s</w:t>
      </w:r>
      <w:r>
        <w:t xml:space="preserve"> of the source cell and neighbour cell and </w:t>
      </w:r>
      <w:r w:rsidR="005C0333">
        <w:t xml:space="preserve">consequently the UE </w:t>
      </w:r>
      <w:r>
        <w:t xml:space="preserve">will trigger the measurement report only </w:t>
      </w:r>
      <w:r w:rsidR="005C0333">
        <w:t xml:space="preserve">when </w:t>
      </w:r>
      <w:r>
        <w:t>the neighbour cell becomes at least offset better than the source cell. This operation of expanding the coverage of the cell is performed when the UE is in active mode. A simple illustration of the UE being connected to a cell that has ‘expanded’ its coverage area is shown</w:t>
      </w:r>
      <w:r w:rsidR="002D21A0">
        <w:t xml:space="preserve"> in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rsidR="002C4483">
        <w:t>. I</w:t>
      </w:r>
      <w:r>
        <w:t xml:space="preserve">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t xml:space="preserve">, the UE is connected to LTE Cell-B as the UE is still in the cell range expanded area of Cell-B. If the UE finishes its data transaction and if it goes to idle mode and then when it tries to come back to active mode (assume the UE to be stationary), then the UE will end up accessing LTE cell-A as the idle mode cell selection will not be affected by the active mode cell range expansion. </w:t>
      </w:r>
    </w:p>
    <w:p w14:paraId="5AE77887" w14:textId="77777777" w:rsidR="00593224" w:rsidRDefault="00593224" w:rsidP="00593224">
      <w:r>
        <w:rPr>
          <w:noProof/>
          <w:lang w:val="en-US" w:eastAsia="en-US"/>
        </w:rPr>
        <w:drawing>
          <wp:inline distT="0" distB="0" distL="0" distR="0" wp14:anchorId="6F170528" wp14:editId="612DB3B5">
            <wp:extent cx="5715000" cy="1895974"/>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0680" cy="1897858"/>
                    </a:xfrm>
                    <a:prstGeom prst="rect">
                      <a:avLst/>
                    </a:prstGeom>
                    <a:noFill/>
                  </pic:spPr>
                </pic:pic>
              </a:graphicData>
            </a:graphic>
          </wp:inline>
        </w:drawing>
      </w:r>
    </w:p>
    <w:p w14:paraId="4B5865A3" w14:textId="68970E73" w:rsidR="00A00796" w:rsidRDefault="00593224" w:rsidP="00A00796">
      <w:pPr>
        <w:pStyle w:val="Caption"/>
      </w:pPr>
      <w:bookmarkStart w:id="2" w:name="_Ref463007065"/>
      <w:r>
        <w:t xml:space="preserve">Figure </w:t>
      </w:r>
      <w:r>
        <w:fldChar w:fldCharType="begin"/>
      </w:r>
      <w:r>
        <w:instrText xml:space="preserve"> SEQ Figure \* ARABIC </w:instrText>
      </w:r>
      <w:r>
        <w:fldChar w:fldCharType="separate"/>
      </w:r>
      <w:r w:rsidR="003474C0">
        <w:rPr>
          <w:noProof/>
        </w:rPr>
        <w:t>1</w:t>
      </w:r>
      <w:r>
        <w:fldChar w:fldCharType="end"/>
      </w:r>
      <w:bookmarkEnd w:id="2"/>
      <w:r>
        <w:t>: A scenario in LTE with cell range expansion feature</w:t>
      </w:r>
      <w:r w:rsidR="00A00796">
        <w:rPr>
          <w:b w:val="0"/>
          <w:bCs w:val="0"/>
        </w:rPr>
        <w:fldChar w:fldCharType="begin"/>
      </w:r>
      <w:r w:rsidR="00A00796">
        <w:instrText xml:space="preserve"> TOC \f \n \t "Observation;1" </w:instrText>
      </w:r>
      <w:r w:rsidR="00A00796">
        <w:rPr>
          <w:b w:val="0"/>
          <w:bCs w:val="0"/>
        </w:rPr>
        <w:fldChar w:fldCharType="separate"/>
      </w:r>
    </w:p>
    <w:p w14:paraId="193FF536" w14:textId="1444F5D8" w:rsidR="00A00796" w:rsidRDefault="00A00796" w:rsidP="00B243A5">
      <w:pPr>
        <w:pStyle w:val="TOC1"/>
        <w:jc w:val="both"/>
      </w:pP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4041F9B7" w14:textId="77777777" w:rsidR="00B243A5" w:rsidRPr="00DB0A9F" w:rsidRDefault="00B243A5" w:rsidP="00B243A5">
      <w:pPr>
        <w:pStyle w:val="TOC1"/>
        <w:jc w:val="both"/>
        <w:rPr>
          <w:rFonts w:ascii="Calibri" w:eastAsia="SimSun" w:hAnsi="Calibri"/>
          <w:b w:val="0"/>
          <w:sz w:val="22"/>
        </w:rPr>
      </w:pPr>
    </w:p>
    <w:p w14:paraId="34981C63" w14:textId="77777777" w:rsidR="00A00796" w:rsidRPr="00B243A5" w:rsidRDefault="00A00796" w:rsidP="00A00796">
      <w:pPr>
        <w:rPr>
          <w:b/>
          <w:bCs/>
          <w:lang w:val="en-US"/>
        </w:rPr>
      </w:pPr>
    </w:p>
    <w:p w14:paraId="63607A4E" w14:textId="7C83F8D6" w:rsidR="00F9351C" w:rsidRPr="00A00796" w:rsidRDefault="00A00796" w:rsidP="00593224">
      <w:pPr>
        <w:rPr>
          <w:b/>
        </w:rPr>
      </w:pPr>
      <w:r>
        <w:rPr>
          <w:b/>
          <w:bCs/>
        </w:rPr>
        <w:fldChar w:fldCharType="end"/>
      </w:r>
      <w:r>
        <w:t xml:space="preserve">In NR, </w:t>
      </w:r>
      <w:r w:rsidR="00F9351C">
        <w:t xml:space="preserve">these scenarios may </w:t>
      </w:r>
      <w:r>
        <w:t xml:space="preserve">also exist </w:t>
      </w:r>
      <w:r w:rsidR="00F9351C">
        <w:t>due to</w:t>
      </w:r>
      <w:r w:rsidR="00D80D4F">
        <w:t xml:space="preserve"> the</w:t>
      </w:r>
      <w:r w:rsidR="00F9351C">
        <w:t xml:space="preserve"> high gain </w:t>
      </w:r>
      <w:r w:rsidR="00D80D4F">
        <w:t xml:space="preserve">dynamic </w:t>
      </w:r>
      <w:r w:rsidR="00F9351C">
        <w:t xml:space="preserve">beamforming </w:t>
      </w:r>
      <w:r w:rsidR="002D21A0">
        <w:t xml:space="preserve">in </w:t>
      </w:r>
      <w:r w:rsidR="00D80D4F">
        <w:t xml:space="preserve">the </w:t>
      </w:r>
      <w:r w:rsidR="002D21A0">
        <w:t xml:space="preserve">active mode </w:t>
      </w:r>
      <w:r w:rsidR="00F9351C">
        <w:t xml:space="preserve">where the UE could be under the coverage area of another </w:t>
      </w:r>
      <w:r w:rsidR="00D80D4F">
        <w:t>idle mode cell</w:t>
      </w:r>
      <w:r w:rsidR="00F9351C">
        <w:t xml:space="preserve"> while being served by a beam generated by another gNB.</w:t>
      </w:r>
      <w:r w:rsidR="00D80D4F">
        <w:t xml:space="preserve"> Such a scenario is </w:t>
      </w:r>
      <w:r>
        <w:t xml:space="preserve">illustrated </w:t>
      </w:r>
      <w:r w:rsidR="00D80D4F">
        <w:t xml:space="preserve">in </w:t>
      </w:r>
      <w:r w:rsidR="00D80D4F">
        <w:fldChar w:fldCharType="begin"/>
      </w:r>
      <w:r w:rsidR="00D80D4F">
        <w:instrText xml:space="preserve"> REF _Ref463010442 \h </w:instrText>
      </w:r>
      <w:r w:rsidR="00D80D4F">
        <w:fldChar w:fldCharType="separate"/>
      </w:r>
      <w:r w:rsidR="00D80D4F">
        <w:t xml:space="preserve">Figure </w:t>
      </w:r>
      <w:r w:rsidR="00D80D4F">
        <w:rPr>
          <w:noProof/>
        </w:rPr>
        <w:t>2</w:t>
      </w:r>
      <w:r w:rsidR="00D80D4F">
        <w:fldChar w:fldCharType="end"/>
      </w:r>
      <w:r w:rsidR="00D80D4F">
        <w:t>.</w:t>
      </w:r>
    </w:p>
    <w:p w14:paraId="084D2C19" w14:textId="77777777" w:rsidR="00F9351C" w:rsidRDefault="00F9351C" w:rsidP="00593224"/>
    <w:p w14:paraId="13A17CB9" w14:textId="1512753F" w:rsidR="00F9351C" w:rsidRDefault="00F9351C" w:rsidP="005E34A4">
      <w:pPr>
        <w:jc w:val="center"/>
      </w:pPr>
      <w:r>
        <w:rPr>
          <w:noProof/>
          <w:lang w:val="en-US" w:eastAsia="en-US"/>
        </w:rPr>
        <w:drawing>
          <wp:inline distT="0" distB="0" distL="0" distR="0" wp14:anchorId="2FBF1E79" wp14:editId="5200E1B8">
            <wp:extent cx="4248150" cy="16766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0707" cy="1677675"/>
                    </a:xfrm>
                    <a:prstGeom prst="rect">
                      <a:avLst/>
                    </a:prstGeom>
                    <a:noFill/>
                  </pic:spPr>
                </pic:pic>
              </a:graphicData>
            </a:graphic>
          </wp:inline>
        </w:drawing>
      </w:r>
    </w:p>
    <w:p w14:paraId="0028A6A4" w14:textId="617A9B91" w:rsidR="00D80D4F" w:rsidRDefault="00D80D4F" w:rsidP="005E34A4">
      <w:pPr>
        <w:pStyle w:val="Caption"/>
      </w:pPr>
      <w:bookmarkStart w:id="3" w:name="_Ref463010442"/>
      <w:r>
        <w:t xml:space="preserve">Figure </w:t>
      </w:r>
      <w:r>
        <w:fldChar w:fldCharType="begin"/>
      </w:r>
      <w:r>
        <w:instrText xml:space="preserve"> SEQ Figure \* ARABIC </w:instrText>
      </w:r>
      <w:r>
        <w:fldChar w:fldCharType="separate"/>
      </w:r>
      <w:r w:rsidR="003474C0">
        <w:rPr>
          <w:noProof/>
        </w:rPr>
        <w:t>2</w:t>
      </w:r>
      <w:r>
        <w:fldChar w:fldCharType="end"/>
      </w:r>
      <w:bookmarkEnd w:id="3"/>
      <w:r>
        <w:t>: Scenarios in NR with high gain dynamic beamforming of active mode transmissions</w:t>
      </w:r>
    </w:p>
    <w:p w14:paraId="2BDC184F" w14:textId="7DC96C93" w:rsidR="00F9351C" w:rsidRPr="00B243A5" w:rsidRDefault="00B243A5" w:rsidP="00B243A5">
      <w:pPr>
        <w:pStyle w:val="TOC1"/>
        <w:jc w:val="both"/>
      </w:pPr>
      <w:r>
        <w:lastRenderedPageBreak/>
        <w:t>Observation 2</w:t>
      </w:r>
      <w:r w:rsidRPr="00DB0A9F">
        <w:rPr>
          <w:rFonts w:ascii="Calibri" w:eastAsia="SimSun" w:hAnsi="Calibri"/>
          <w:b w:val="0"/>
          <w:sz w:val="22"/>
        </w:rPr>
        <w:tab/>
      </w:r>
      <w:r w:rsidR="006C116D">
        <w:t>In NR, the coverage difference between acti</w:t>
      </w:r>
      <w:r>
        <w:t>ve mode and idle mode operation may</w:t>
      </w:r>
      <w:r w:rsidR="006C116D">
        <w:t xml:space="preserve"> occur due to the different beamforming strategies used for idle and active modes.</w:t>
      </w:r>
    </w:p>
    <w:p w14:paraId="7D818B2D" w14:textId="77777777" w:rsidR="00B243A5" w:rsidRPr="00B243A5" w:rsidRDefault="00B243A5" w:rsidP="00593224">
      <w:pPr>
        <w:rPr>
          <w:b/>
          <w:lang w:val="en-US"/>
        </w:rPr>
      </w:pPr>
    </w:p>
    <w:p w14:paraId="321E3F83" w14:textId="699221E5" w:rsidR="00F9351C" w:rsidRDefault="008D5557" w:rsidP="008D5557">
      <w:pPr>
        <w:pStyle w:val="Heading2"/>
      </w:pPr>
      <w:r>
        <w:t>I</w:t>
      </w:r>
      <w:r w:rsidR="00F9351C">
        <w:t>nter</w:t>
      </w:r>
      <w:r>
        <w:t xml:space="preserve"> node </w:t>
      </w:r>
      <w:r w:rsidR="00F9351C">
        <w:t>ping-pong upon state transitions</w:t>
      </w:r>
      <w:r>
        <w:t xml:space="preserve"> avoidance</w:t>
      </w:r>
    </w:p>
    <w:p w14:paraId="5C28E211" w14:textId="702D4DCE" w:rsidR="004F035A" w:rsidRDefault="004F035A" w:rsidP="00B243A5">
      <w:pPr>
        <w:pStyle w:val="BodyText"/>
      </w:pPr>
      <w:r>
        <w:t xml:space="preserve">In LTE, the idle mode cell reselection </w:t>
      </w:r>
      <w:r w:rsidR="008D5557">
        <w:t xml:space="preserve">is </w:t>
      </w:r>
      <w:r>
        <w:t>controlled via the contents of the SIB4</w:t>
      </w:r>
      <w:r w:rsidR="00B243A5">
        <w:t xml:space="preserve"> from which </w:t>
      </w:r>
      <w:r>
        <w:t xml:space="preserve">the serving node will be able to configure with what offset the UE </w:t>
      </w:r>
      <w:r w:rsidR="007050F8">
        <w:t>should</w:t>
      </w:r>
      <w:r>
        <w:t xml:space="preserve"> reselect the neighbouring cells when it goes to the idle mode. It should be noted that in LTE, the UE is supposed to monitor system information transmission from the source node even when in connected mode.</w:t>
      </w:r>
    </w:p>
    <w:p w14:paraId="0732053E" w14:textId="31D9E2B6" w:rsidR="00816038" w:rsidRDefault="00B243A5" w:rsidP="00B243A5">
      <w:pPr>
        <w:pStyle w:val="TOC1"/>
        <w:jc w:val="both"/>
      </w:pPr>
      <w:r>
        <w:t xml:space="preserve">Observation </w:t>
      </w:r>
      <w:r w:rsidR="00B45A17">
        <w:t>3</w:t>
      </w:r>
      <w:r w:rsidRPr="00DB0A9F">
        <w:rPr>
          <w:rFonts w:ascii="Calibri" w:eastAsia="SimSun" w:hAnsi="Calibri"/>
          <w:b w:val="0"/>
          <w:sz w:val="22"/>
        </w:rPr>
        <w:tab/>
      </w:r>
      <w:r w:rsidR="00816038">
        <w:t xml:space="preserve">In LTE, </w:t>
      </w:r>
      <w:r>
        <w:t xml:space="preserve">Q-offset </w:t>
      </w:r>
      <w:r w:rsidR="00816038">
        <w:t xml:space="preserve">can be used to avoid ping-pong </w:t>
      </w:r>
      <w:r>
        <w:t xml:space="preserve">triggered by state transitions </w:t>
      </w:r>
      <w:r w:rsidR="00734968">
        <w:t>when the cell range expansion is enabled</w:t>
      </w:r>
      <w:r>
        <w:t>.</w:t>
      </w:r>
    </w:p>
    <w:p w14:paraId="2837EBB3" w14:textId="77777777" w:rsidR="00B243A5" w:rsidRPr="00B243A5" w:rsidRDefault="00B243A5" w:rsidP="00B243A5">
      <w:pPr>
        <w:pStyle w:val="TOC1"/>
        <w:jc w:val="both"/>
      </w:pPr>
    </w:p>
    <w:p w14:paraId="432E0E16" w14:textId="617C13EC" w:rsidR="00816038" w:rsidRPr="0012164E" w:rsidRDefault="00816038" w:rsidP="00816038">
      <w:r w:rsidRPr="008D5557">
        <w:t xml:space="preserve">In NR, </w:t>
      </w:r>
      <w:r w:rsidR="0012164E">
        <w:t xml:space="preserve">to minimize the overhead on beamforming all </w:t>
      </w:r>
      <w:r>
        <w:t>system information</w:t>
      </w:r>
      <w:r w:rsidR="0012164E">
        <w:t xml:space="preserve">, parts of it will be </w:t>
      </w:r>
      <w:r w:rsidR="007050F8">
        <w:t>signalled</w:t>
      </w:r>
      <w:r w:rsidR="0012164E">
        <w:t xml:space="preserve"> </w:t>
      </w:r>
      <w:r>
        <w:t>dedicatedly to the UE.</w:t>
      </w:r>
      <w:r w:rsidR="00B243A5">
        <w:t xml:space="preserve"> </w:t>
      </w:r>
      <w:r w:rsidRPr="0012164E">
        <w:t>To avoid the p</w:t>
      </w:r>
      <w:r>
        <w:t xml:space="preserve">ing-pong behaviour </w:t>
      </w:r>
      <w:r w:rsidR="0012164E">
        <w:t xml:space="preserve">during state transitions </w:t>
      </w:r>
      <w:r>
        <w:t xml:space="preserve">in NR, the serving </w:t>
      </w:r>
      <w:r w:rsidR="0012164E">
        <w:t xml:space="preserve">gNB </w:t>
      </w:r>
      <w:r>
        <w:t>could configure the UE with relevant offsets (re-distribution factors) via the dedicated system information transmission upon coming to connected mode or upon receiving a UE via handover from another node who had configured the UE</w:t>
      </w:r>
      <w:r w:rsidR="007050F8">
        <w:t xml:space="preserve"> differently</w:t>
      </w:r>
      <w:r>
        <w:t>.</w:t>
      </w:r>
    </w:p>
    <w:p w14:paraId="324ACF16" w14:textId="08825DC1" w:rsidR="00816038" w:rsidRPr="00B243A5" w:rsidRDefault="00B243A5" w:rsidP="00B243A5">
      <w:pPr>
        <w:pStyle w:val="TOC1"/>
        <w:jc w:val="both"/>
      </w:pPr>
      <w:r>
        <w:t xml:space="preserve">Observation </w:t>
      </w:r>
      <w:r w:rsidR="00B45A17">
        <w:t>4</w:t>
      </w:r>
      <w:r w:rsidRPr="00DB0A9F">
        <w:rPr>
          <w:rFonts w:ascii="Calibri" w:eastAsia="SimSun" w:hAnsi="Calibri"/>
          <w:b w:val="0"/>
          <w:sz w:val="22"/>
        </w:rPr>
        <w:tab/>
      </w:r>
      <w:r w:rsidR="00816038">
        <w:t xml:space="preserve">In NR, a dedicated transmission of the relevant </w:t>
      </w:r>
      <w:r w:rsidR="00AA7174">
        <w:t>offsets and system information to the UE in the connected mode will resolve the ping-pong behaviour while transitioning between different modes</w:t>
      </w:r>
      <w:r w:rsidR="00816038">
        <w:t>.</w:t>
      </w:r>
    </w:p>
    <w:p w14:paraId="45365215" w14:textId="74BE1319" w:rsidR="00B243A5" w:rsidRPr="00B243A5" w:rsidRDefault="00B243A5" w:rsidP="00DA68D5">
      <w:pPr>
        <w:pStyle w:val="TOC1"/>
        <w:jc w:val="both"/>
      </w:pPr>
      <w:r>
        <w:t xml:space="preserve">Observation </w:t>
      </w:r>
      <w:r w:rsidR="00B45A17">
        <w:t>5</w:t>
      </w:r>
      <w:r w:rsidRPr="00DB0A9F">
        <w:rPr>
          <w:rFonts w:ascii="Calibri" w:eastAsia="SimSun" w:hAnsi="Calibri"/>
          <w:b w:val="0"/>
          <w:sz w:val="22"/>
        </w:rPr>
        <w:tab/>
      </w:r>
      <w:r w:rsidR="007874C9" w:rsidRPr="00B243A5">
        <w:t>Serving gNB</w:t>
      </w:r>
      <w:r w:rsidR="00FF2755" w:rsidRPr="00B243A5">
        <w:t xml:space="preserve"> should be able to configure the UE via </w:t>
      </w:r>
      <w:r w:rsidR="00AA7174" w:rsidRPr="00B243A5">
        <w:t xml:space="preserve">dedicated </w:t>
      </w:r>
      <w:r w:rsidR="00FF2755" w:rsidRPr="00B243A5">
        <w:t xml:space="preserve">signalling </w:t>
      </w:r>
      <w:r w:rsidR="00AA7174" w:rsidRPr="00B243A5">
        <w:t xml:space="preserve">of the offsets and system information needed to avoid ping pong behaviour. </w:t>
      </w:r>
    </w:p>
    <w:p w14:paraId="4DBC25C2" w14:textId="77777777" w:rsidR="00DA68D5" w:rsidRDefault="00DA68D5" w:rsidP="00816038"/>
    <w:p w14:paraId="0326FD6B" w14:textId="34DDF823" w:rsidR="00EC409D" w:rsidRDefault="00E776CE" w:rsidP="00816038">
      <w:r>
        <w:t xml:space="preserve">In order to enable the network to configure the UE with the relevant offsets the UE needs to be aware of the NR Cell it is connected to. </w:t>
      </w:r>
      <w:r w:rsidR="00EC409D">
        <w:t xml:space="preserve">Several options of indicating the NR cell identifier to the UE in active mode are discussed in </w:t>
      </w:r>
      <w:r w:rsidR="00EC409D">
        <w:fldChar w:fldCharType="begin"/>
      </w:r>
      <w:r w:rsidR="00EC409D">
        <w:instrText xml:space="preserve"> REF _Ref465848065 \r \h </w:instrText>
      </w:r>
      <w:r w:rsidR="00EC409D">
        <w:fldChar w:fldCharType="separate"/>
      </w:r>
      <w:r w:rsidR="00EC409D">
        <w:t>[3]</w:t>
      </w:r>
      <w:r w:rsidR="00EC409D">
        <w:fldChar w:fldCharType="end"/>
      </w:r>
      <w:r w:rsidR="00EC409D">
        <w:t>. The mentioned methods include</w:t>
      </w:r>
      <w:r w:rsidR="00C527A8">
        <w:t xml:space="preserve"> (for details please refer to </w:t>
      </w:r>
      <w:r w:rsidR="00C527A8">
        <w:fldChar w:fldCharType="begin"/>
      </w:r>
      <w:r w:rsidR="00C527A8">
        <w:instrText xml:space="preserve"> REF _Ref465848065 \r \h </w:instrText>
      </w:r>
      <w:r w:rsidR="00C527A8">
        <w:fldChar w:fldCharType="separate"/>
      </w:r>
      <w:r w:rsidR="00C527A8">
        <w:t>[3]</w:t>
      </w:r>
      <w:r w:rsidR="00C527A8">
        <w:fldChar w:fldCharType="end"/>
      </w:r>
      <w:r w:rsidR="00C527A8">
        <w:t>)</w:t>
      </w:r>
      <w:r w:rsidR="00EC409D">
        <w:t>;</w:t>
      </w:r>
    </w:p>
    <w:p w14:paraId="13CF2862" w14:textId="1B38494E" w:rsidR="00EC409D" w:rsidRDefault="00C527A8" w:rsidP="00E776CE">
      <w:pPr>
        <w:pStyle w:val="ListParagraph"/>
        <w:numPr>
          <w:ilvl w:val="0"/>
          <w:numId w:val="47"/>
        </w:numPr>
      </w:pPr>
      <w:r>
        <w:t>NR cell identifier</w:t>
      </w:r>
      <w:r w:rsidR="00EC409D">
        <w:t xml:space="preserve"> is </w:t>
      </w:r>
      <w:r>
        <w:t>transmitted in associated with active mode RS as a sequence modulated sequences</w:t>
      </w:r>
    </w:p>
    <w:p w14:paraId="232151BD" w14:textId="15BA9CAC" w:rsidR="00C527A8" w:rsidRDefault="00C527A8" w:rsidP="00E776CE">
      <w:pPr>
        <w:pStyle w:val="ListParagraph"/>
        <w:numPr>
          <w:ilvl w:val="0"/>
          <w:numId w:val="47"/>
        </w:numPr>
      </w:pPr>
      <w:r>
        <w:t>NR cell identifier is transmitted in associated with active mode RS as a convolutional encoded field in physical channel</w:t>
      </w:r>
    </w:p>
    <w:p w14:paraId="0D849F1F" w14:textId="77777777" w:rsidR="00C527A8" w:rsidRDefault="00C527A8" w:rsidP="00E776CE">
      <w:pPr>
        <w:pStyle w:val="ListParagraph"/>
        <w:numPr>
          <w:ilvl w:val="0"/>
          <w:numId w:val="47"/>
        </w:numPr>
      </w:pPr>
      <w:r>
        <w:t>NR cell identifier is periodically scheduled using a PDCCH/PDSCH configuration derived from the active mode RS identifier.</w:t>
      </w:r>
    </w:p>
    <w:p w14:paraId="0783FE5B" w14:textId="7B76CE71" w:rsidR="00C527A8" w:rsidRDefault="006805C7" w:rsidP="00E776CE">
      <w:pPr>
        <w:pStyle w:val="ListParagraph"/>
        <w:numPr>
          <w:ilvl w:val="0"/>
          <w:numId w:val="47"/>
        </w:numPr>
      </w:pPr>
      <w:r>
        <w:t>NR cell identifier is provided via dedicated control signalling to the UE.</w:t>
      </w:r>
    </w:p>
    <w:p w14:paraId="72EBAEE4" w14:textId="46E4E20B" w:rsidR="00C527A8" w:rsidRDefault="00C527A8" w:rsidP="00E776CE">
      <w:pPr>
        <w:pStyle w:val="ListParagraph"/>
        <w:numPr>
          <w:ilvl w:val="0"/>
          <w:numId w:val="47"/>
        </w:numPr>
      </w:pPr>
      <w:r>
        <w:t xml:space="preserve">NR cell identifier is inferred based on the range of the identifier used by active mode RS </w:t>
      </w:r>
      <w:r w:rsidR="006805C7">
        <w:t xml:space="preserve">signal </w:t>
      </w:r>
      <w:r>
        <w:t>identifier</w:t>
      </w:r>
    </w:p>
    <w:p w14:paraId="162CA380" w14:textId="2862C660" w:rsidR="006805C7" w:rsidRDefault="00C527A8" w:rsidP="00E776CE">
      <w:pPr>
        <w:pStyle w:val="ListParagraph"/>
        <w:numPr>
          <w:ilvl w:val="0"/>
          <w:numId w:val="47"/>
        </w:numPr>
      </w:pPr>
      <w:r>
        <w:t xml:space="preserve">NR cell identifier is inferred based on the </w:t>
      </w:r>
      <w:r w:rsidR="006805C7">
        <w:t>frequency sub-band</w:t>
      </w:r>
      <w:r>
        <w:t xml:space="preserve"> of the active mode RS </w:t>
      </w:r>
      <w:r w:rsidR="006805C7">
        <w:t>signal</w:t>
      </w:r>
      <w:r w:rsidR="00E776CE">
        <w:t>.</w:t>
      </w:r>
    </w:p>
    <w:p w14:paraId="588344EF" w14:textId="77777777" w:rsidR="006805C7" w:rsidRDefault="006805C7" w:rsidP="00E776CE"/>
    <w:p w14:paraId="74748561" w14:textId="40FCD01F" w:rsidR="006805C7" w:rsidRPr="00B243A5" w:rsidRDefault="006805C7" w:rsidP="006805C7">
      <w:pPr>
        <w:pStyle w:val="TOC1"/>
        <w:jc w:val="both"/>
      </w:pPr>
      <w:r>
        <w:t>Observation 6</w:t>
      </w:r>
      <w:r w:rsidRPr="00DB0A9F">
        <w:rPr>
          <w:rFonts w:ascii="Calibri" w:eastAsia="SimSun" w:hAnsi="Calibri"/>
          <w:b w:val="0"/>
          <w:sz w:val="22"/>
        </w:rPr>
        <w:tab/>
      </w:r>
      <w:r w:rsidR="00E776CE">
        <w:t>T</w:t>
      </w:r>
      <w:r>
        <w:t xml:space="preserve">here are several ways </w:t>
      </w:r>
      <w:r w:rsidR="00E776CE">
        <w:t>to make the UE aware fo the cell iit is connected to</w:t>
      </w:r>
      <w:r>
        <w:t>.</w:t>
      </w:r>
    </w:p>
    <w:p w14:paraId="16D82DB6" w14:textId="63EA9C9F" w:rsidR="006805C7" w:rsidRDefault="006805C7" w:rsidP="006805C7">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C81641B" w14:textId="5CDAF886" w:rsidR="006805C7" w:rsidRDefault="006805C7" w:rsidP="00E776CE">
      <w:pPr>
        <w:pStyle w:val="TOC1"/>
        <w:jc w:val="both"/>
      </w:pPr>
      <w:r>
        <w:t>Observation 8</w:t>
      </w:r>
      <w:r w:rsidRPr="00DB0A9F">
        <w:rPr>
          <w:rFonts w:ascii="Calibri" w:eastAsia="SimSun" w:hAnsi="Calibri"/>
          <w:b w:val="0"/>
          <w:sz w:val="22"/>
        </w:rPr>
        <w:tab/>
      </w:r>
      <w:r>
        <w:t xml:space="preserve">If sending the NR cell identifier </w:t>
      </w:r>
      <w:r w:rsidR="00E776CE">
        <w:t xml:space="preserve">via broadcast </w:t>
      </w:r>
      <w:r>
        <w:t xml:space="preserve">is </w:t>
      </w:r>
      <w:r w:rsidR="00E776CE">
        <w:t xml:space="preserve">costly </w:t>
      </w:r>
      <w:r>
        <w:t>in a multi-beam system, dedicated transmission</w:t>
      </w:r>
      <w:r w:rsidR="00E776CE">
        <w:t xml:space="preserve"> should be used.</w:t>
      </w:r>
    </w:p>
    <w:p w14:paraId="4BF3ECB7" w14:textId="0F2DDBBD" w:rsidR="008E110A" w:rsidRDefault="00DA68D5" w:rsidP="00DA68D5">
      <w:pPr>
        <w:pStyle w:val="TOC1"/>
        <w:jc w:val="both"/>
      </w:pPr>
      <w:r>
        <w:t>Proposal 2</w:t>
      </w:r>
      <w:r w:rsidRPr="00DB0A9F">
        <w:rPr>
          <w:rFonts w:ascii="Calibri" w:eastAsia="SimSun" w:hAnsi="Calibri"/>
          <w:b w:val="0"/>
          <w:sz w:val="22"/>
        </w:rPr>
        <w:tab/>
      </w:r>
      <w:r w:rsidR="00B06C1C">
        <w:t>UEs in CONNECTED state should be aware of the cell they are connected to</w:t>
      </w:r>
      <w:r w:rsidR="00E776CE">
        <w:t>.</w:t>
      </w:r>
    </w:p>
    <w:p w14:paraId="5529ED03" w14:textId="77777777" w:rsidR="00464A93" w:rsidRDefault="00464A93" w:rsidP="00464A93">
      <w:pPr>
        <w:pStyle w:val="Doc-text2"/>
      </w:pPr>
    </w:p>
    <w:p w14:paraId="283285FF" w14:textId="6A208B15" w:rsidR="000C3073" w:rsidRDefault="000C3073" w:rsidP="005D641B">
      <w:pPr>
        <w:pStyle w:val="Heading2"/>
      </w:pPr>
      <w:r>
        <w:lastRenderedPageBreak/>
        <w:t>Simulation results</w:t>
      </w:r>
    </w:p>
    <w:p w14:paraId="376AAA42" w14:textId="2D5B15C0" w:rsidR="007041E2" w:rsidRDefault="00A1413E" w:rsidP="00E776CE">
      <w:pPr>
        <w:pStyle w:val="TOC1"/>
        <w:ind w:left="0" w:firstLine="0"/>
        <w:jc w:val="both"/>
        <w:rPr>
          <w:b w:val="0"/>
        </w:rPr>
      </w:pPr>
      <w:r>
        <w:rPr>
          <w:b w:val="0"/>
        </w:rPr>
        <w:t>This section provides the simulation results to discuss the extent of ping</w:t>
      </w:r>
      <w:r w:rsidR="005D641B">
        <w:rPr>
          <w:b w:val="0"/>
        </w:rPr>
        <w:t>-</w:t>
      </w:r>
      <w:r>
        <w:rPr>
          <w:b w:val="0"/>
        </w:rPr>
        <w:t xml:space="preserve">pongs and whether they truly occur in the system that is using different </w:t>
      </w:r>
      <w:r w:rsidR="005D641B">
        <w:rPr>
          <w:b w:val="0"/>
        </w:rPr>
        <w:t xml:space="preserve">RSs </w:t>
      </w:r>
      <w:r>
        <w:rPr>
          <w:b w:val="0"/>
        </w:rPr>
        <w:t xml:space="preserve">for </w:t>
      </w:r>
      <w:r w:rsidR="005D641B">
        <w:rPr>
          <w:b w:val="0"/>
        </w:rPr>
        <w:t>RRC_IDLE and RRC_CONNECTED</w:t>
      </w:r>
      <w:r>
        <w:rPr>
          <w:b w:val="0"/>
        </w:rPr>
        <w:t>. In the simulations, different beamformers were used for the initial access and for the active mode mobility.  Simulation settings are provided in the appendix.</w:t>
      </w:r>
    </w:p>
    <w:p w14:paraId="4D35DF5D" w14:textId="0EF861CD" w:rsidR="003474C0" w:rsidRDefault="003474C0" w:rsidP="00E776CE">
      <w:pPr>
        <w:pStyle w:val="TOC1"/>
        <w:ind w:left="0" w:firstLine="0"/>
        <w:jc w:val="both"/>
        <w:rPr>
          <w:b w:val="0"/>
        </w:rPr>
      </w:pPr>
      <w:r>
        <w:rPr>
          <w:b w:val="0"/>
        </w:rPr>
        <w:t xml:space="preserve">The simulation results of </w:t>
      </w:r>
      <w:r>
        <w:rPr>
          <w:b w:val="0"/>
        </w:rPr>
        <w:fldChar w:fldCharType="begin"/>
      </w:r>
      <w:r>
        <w:rPr>
          <w:b w:val="0"/>
        </w:rPr>
        <w:instrText xml:space="preserve"> REF _Ref471391168 \h </w:instrText>
      </w:r>
      <w:r>
        <w:rPr>
          <w:b w:val="0"/>
        </w:rPr>
      </w:r>
      <w:r>
        <w:rPr>
          <w:b w:val="0"/>
        </w:rPr>
        <w:fldChar w:fldCharType="separate"/>
      </w:r>
      <w:r>
        <w:t>Figure 3</w:t>
      </w:r>
      <w:r>
        <w:rPr>
          <w:b w:val="0"/>
        </w:rPr>
        <w:fldChar w:fldCharType="end"/>
      </w:r>
      <w:r>
        <w:rPr>
          <w:b w:val="0"/>
        </w:rPr>
        <w:t xml:space="preserve"> show the minimal impact of ping-pong during state transitions when extremely different beamformers are used in idle and in active mode. The results show that event when there are 256 more beams used for active mode compared to idle mode, ~98% of the UEs are within the 3 dB of the optimal cell in active mode</w:t>
      </w:r>
      <w:r w:rsidR="005843F7">
        <w:rPr>
          <w:b w:val="0"/>
        </w:rPr>
        <w:t>. Such offsets would have been used in any case in the active mode as part of the handover procedures and hence the problem of pingpong at state transition is not severe even in extreme cases of beamforming differences (none for idle compared to 256 beams in active)</w:t>
      </w:r>
      <w:r>
        <w:rPr>
          <w:b w:val="0"/>
        </w:rPr>
        <w:t xml:space="preserve"> </w:t>
      </w:r>
    </w:p>
    <w:p w14:paraId="2371C341" w14:textId="732856F4" w:rsidR="000C3073" w:rsidRDefault="00E43F4A" w:rsidP="00E776CE">
      <w:pPr>
        <w:pStyle w:val="TOC1"/>
        <w:ind w:left="0" w:firstLine="0"/>
        <w:jc w:val="both"/>
        <w:rPr>
          <w:b w:val="0"/>
        </w:rPr>
      </w:pPr>
      <w:r w:rsidRPr="00E43F4A">
        <w:rPr>
          <w:b w:val="0"/>
          <w:lang w:eastAsia="en-US"/>
        </w:rPr>
        <w:drawing>
          <wp:inline distT="0" distB="0" distL="0" distR="0" wp14:anchorId="03838406" wp14:editId="31C74A13">
            <wp:extent cx="6120765" cy="3025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25152"/>
                    </a:xfrm>
                    <a:prstGeom prst="rect">
                      <a:avLst/>
                    </a:prstGeom>
                    <a:noFill/>
                    <a:ln>
                      <a:noFill/>
                    </a:ln>
                  </pic:spPr>
                </pic:pic>
              </a:graphicData>
            </a:graphic>
          </wp:inline>
        </w:drawing>
      </w:r>
    </w:p>
    <w:p w14:paraId="3EA952C3" w14:textId="67B236B2" w:rsidR="003474C0" w:rsidRDefault="003474C0" w:rsidP="005D641B">
      <w:pPr>
        <w:pStyle w:val="Caption"/>
      </w:pPr>
      <w:bookmarkStart w:id="4" w:name="_Ref471391168"/>
      <w:r>
        <w:t xml:space="preserve">Figure </w:t>
      </w:r>
      <w:r>
        <w:fldChar w:fldCharType="begin"/>
      </w:r>
      <w:r>
        <w:instrText xml:space="preserve"> SEQ Figure \* ARABIC </w:instrText>
      </w:r>
      <w:r>
        <w:fldChar w:fldCharType="separate"/>
      </w:r>
      <w:r>
        <w:rPr>
          <w:noProof/>
        </w:rPr>
        <w:t>3</w:t>
      </w:r>
      <w:r>
        <w:fldChar w:fldCharType="end"/>
      </w:r>
      <w:bookmarkEnd w:id="4"/>
      <w:r>
        <w:t xml:space="preserve"> : CDF plots showing the difference in the signal strength of the serving cell’s best beam (serving cell is chosen based on the beamformed beams) and the best beam from the ‘other’ cell (the ‘other’ cell refers to the cell that the UE would have chosen if the omni like beams were used for initial access)</w:t>
      </w:r>
    </w:p>
    <w:p w14:paraId="6051A192" w14:textId="06986712" w:rsidR="005843F7" w:rsidRDefault="005843F7" w:rsidP="005843F7">
      <w:pPr>
        <w:pStyle w:val="TOC1"/>
        <w:jc w:val="both"/>
      </w:pPr>
      <w:r w:rsidRPr="005843F7">
        <w:t xml:space="preserve">Observation </w:t>
      </w:r>
      <w:r>
        <w:t>9</w:t>
      </w:r>
      <w:r w:rsidRPr="005D641B">
        <w:rPr>
          <w:rFonts w:ascii="Calibri" w:eastAsia="SimSun" w:hAnsi="Calibri"/>
          <w:sz w:val="22"/>
        </w:rPr>
        <w:tab/>
      </w:r>
      <w:r>
        <w:t>T</w:t>
      </w:r>
      <w:r w:rsidRPr="005D641B">
        <w:t>he problem of pingpong at state transition is not severe even in extreme cases of beamforming differences (none for idle compared to 256 beams in active)</w:t>
      </w:r>
      <w:r w:rsidRPr="00B243A5">
        <w:t>.</w:t>
      </w:r>
    </w:p>
    <w:p w14:paraId="2E32B63B" w14:textId="77777777" w:rsidR="005843F7" w:rsidRPr="00B06C1C" w:rsidRDefault="005843F7" w:rsidP="005843F7">
      <w:pPr>
        <w:pStyle w:val="TOC1"/>
        <w:jc w:val="both"/>
        <w:rPr>
          <w:rFonts w:ascii="Calibri" w:eastAsia="SimSun" w:hAnsi="Calibri"/>
          <w:sz w:val="22"/>
        </w:rPr>
      </w:pPr>
    </w:p>
    <w:p w14:paraId="6A85B220" w14:textId="73EEFA9A" w:rsidR="005843F7" w:rsidRDefault="005843F7" w:rsidP="005843F7">
      <w:pPr>
        <w:pStyle w:val="TOC1"/>
        <w:jc w:val="both"/>
      </w:pPr>
      <w:r>
        <w:t xml:space="preserve">Proposal </w:t>
      </w:r>
      <w:r w:rsidR="00496567">
        <w:t>3</w:t>
      </w:r>
      <w:r w:rsidRPr="00DB0A9F">
        <w:rPr>
          <w:rFonts w:ascii="Calibri" w:eastAsia="SimSun" w:hAnsi="Calibri"/>
          <w:b w:val="0"/>
          <w:sz w:val="22"/>
        </w:rPr>
        <w:tab/>
      </w:r>
      <w:r>
        <w:t xml:space="preserve">It is proposed to capture the above results in the </w:t>
      </w:r>
      <w:r w:rsidR="00AD3B29">
        <w:t>LS reply</w:t>
      </w:r>
      <w:r>
        <w:t xml:space="preserve"> related to the RSs to be used for active and idle mode RRM measurements.</w:t>
      </w:r>
    </w:p>
    <w:p w14:paraId="36B0564D" w14:textId="0010B4A6" w:rsidR="005843F7" w:rsidRDefault="005843F7" w:rsidP="005843F7">
      <w:pPr>
        <w:pStyle w:val="TOC1"/>
        <w:jc w:val="both"/>
      </w:pPr>
    </w:p>
    <w:p w14:paraId="3AE92BD9" w14:textId="77777777" w:rsidR="005843F7" w:rsidRPr="005D641B" w:rsidRDefault="005843F7" w:rsidP="005D641B">
      <w:pPr>
        <w:rPr>
          <w:b/>
        </w:rPr>
      </w:pPr>
    </w:p>
    <w:p w14:paraId="06736A40" w14:textId="1CC3E5B7" w:rsidR="00F14BA7" w:rsidRPr="003806FB" w:rsidRDefault="00F14BA7" w:rsidP="00F14BA7">
      <w:pPr>
        <w:pStyle w:val="Heading1"/>
      </w:pPr>
      <w:r w:rsidRPr="00CE0424">
        <w:t>Conclusio</w:t>
      </w:r>
      <w:r w:rsidR="001E0D77">
        <w:t>n</w:t>
      </w:r>
    </w:p>
    <w:p w14:paraId="13F28E49" w14:textId="7DE57CAE" w:rsidR="00F14BA7" w:rsidRPr="00F14BA7" w:rsidRDefault="00F14BA7" w:rsidP="00F14BA7">
      <w:pPr>
        <w:pStyle w:val="BodyText"/>
        <w:rPr>
          <w:b/>
          <w:bCs/>
        </w:rPr>
      </w:pPr>
      <w:r>
        <w:t xml:space="preserve">In </w:t>
      </w:r>
      <w:r w:rsidR="00A10C9F">
        <w:t>this contribution</w:t>
      </w:r>
      <w:r w:rsidRPr="00CE0424">
        <w:t xml:space="preserve"> we </w:t>
      </w:r>
      <w:r>
        <w:t>made the following observations</w:t>
      </w:r>
      <w:r w:rsidR="00A10C9F">
        <w:t xml:space="preserve"> and proposals</w:t>
      </w:r>
      <w:r>
        <w:t>:</w:t>
      </w:r>
    </w:p>
    <w:p w14:paraId="6E41E0AF" w14:textId="77777777" w:rsidR="00B45A17" w:rsidRDefault="00B45A17" w:rsidP="00B45A17">
      <w:pPr>
        <w:pStyle w:val="TOC1"/>
        <w:jc w:val="both"/>
      </w:pPr>
      <w:r>
        <w:rPr>
          <w:b w:val="0"/>
        </w:rPr>
        <w:lastRenderedPageBreak/>
        <w:t xml:space="preserve"> </w:t>
      </w: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13F42E6A" w14:textId="67B1A8C8" w:rsidR="00393601" w:rsidRPr="00B45A17" w:rsidRDefault="00B45A17" w:rsidP="00B45A17">
      <w:pPr>
        <w:pStyle w:val="TOC1"/>
        <w:jc w:val="both"/>
      </w:pPr>
      <w:r>
        <w:t>Observation 2</w:t>
      </w:r>
      <w:r w:rsidRPr="00DB0A9F">
        <w:rPr>
          <w:rFonts w:ascii="Calibri" w:eastAsia="SimSun" w:hAnsi="Calibri"/>
          <w:b w:val="0"/>
          <w:sz w:val="22"/>
        </w:rPr>
        <w:tab/>
      </w:r>
      <w:r>
        <w:t>In NR, the coverage difference between active mode and idle mode operation may occur due to the different beamforming strategies used for idle and active modes.</w:t>
      </w:r>
    </w:p>
    <w:p w14:paraId="1355B81A" w14:textId="77777777" w:rsidR="00B45A17" w:rsidRDefault="00B45A17" w:rsidP="00B45A17">
      <w:pPr>
        <w:pStyle w:val="TOC1"/>
        <w:jc w:val="both"/>
      </w:pPr>
      <w:r>
        <w:t>Observation 3</w:t>
      </w:r>
      <w:r w:rsidRPr="00DB0A9F">
        <w:rPr>
          <w:rFonts w:ascii="Calibri" w:eastAsia="SimSun" w:hAnsi="Calibri"/>
          <w:b w:val="0"/>
          <w:sz w:val="22"/>
        </w:rPr>
        <w:tab/>
      </w:r>
      <w:r>
        <w:t>In LTE, Q-offset can be used to avoid ping-pong triggered by state transitions when the cell range expansion is enabled.</w:t>
      </w:r>
    </w:p>
    <w:p w14:paraId="794BA1D8" w14:textId="77777777" w:rsidR="00B45A17" w:rsidRPr="00B243A5" w:rsidRDefault="00B45A17" w:rsidP="00B45A17">
      <w:pPr>
        <w:pStyle w:val="TOC1"/>
        <w:jc w:val="both"/>
      </w:pPr>
      <w:r>
        <w:t>Observation 4</w:t>
      </w:r>
      <w:r w:rsidRPr="00DB0A9F">
        <w:rPr>
          <w:rFonts w:ascii="Calibri" w:eastAsia="SimSun" w:hAnsi="Calibri"/>
          <w:b w:val="0"/>
          <w:sz w:val="22"/>
        </w:rPr>
        <w:tab/>
      </w:r>
      <w:r>
        <w:t>In NR, a dedicated transmission of the relevant offsets and system information to the UE in the connected mode will resolve the ping-pong behaviour while transitioning between different modes.</w:t>
      </w:r>
    </w:p>
    <w:p w14:paraId="658CDAC5" w14:textId="77777777" w:rsidR="00B45A17" w:rsidRPr="00B243A5" w:rsidRDefault="00B45A17" w:rsidP="00B45A17">
      <w:pPr>
        <w:pStyle w:val="TOC1"/>
        <w:jc w:val="both"/>
      </w:pPr>
      <w:r>
        <w:t>Observation 5</w:t>
      </w:r>
      <w:r w:rsidRPr="00DB0A9F">
        <w:rPr>
          <w:rFonts w:ascii="Calibri" w:eastAsia="SimSun" w:hAnsi="Calibri"/>
          <w:b w:val="0"/>
          <w:sz w:val="22"/>
        </w:rPr>
        <w:tab/>
      </w:r>
      <w:r w:rsidRPr="00B243A5">
        <w:t xml:space="preserve">Serving gNB should be able to configure the UE via dedicated signalling of the offsets and system information needed to avoid ping pong behaviour. </w:t>
      </w:r>
    </w:p>
    <w:p w14:paraId="1511EFAB" w14:textId="77777777" w:rsidR="00B06C1C" w:rsidRPr="00B243A5" w:rsidRDefault="00B06C1C" w:rsidP="00B06C1C">
      <w:pPr>
        <w:pStyle w:val="TOC1"/>
        <w:jc w:val="both"/>
      </w:pPr>
      <w:r>
        <w:t>Observation 6</w:t>
      </w:r>
      <w:r w:rsidRPr="00DB0A9F">
        <w:rPr>
          <w:rFonts w:ascii="Calibri" w:eastAsia="SimSun" w:hAnsi="Calibri"/>
          <w:b w:val="0"/>
          <w:sz w:val="22"/>
        </w:rPr>
        <w:tab/>
      </w:r>
      <w:r>
        <w:t>There are several ways to make the UE aware fo the cell iit is connected to.</w:t>
      </w:r>
    </w:p>
    <w:p w14:paraId="6C243056" w14:textId="77777777" w:rsidR="00B06C1C" w:rsidRDefault="00B06C1C" w:rsidP="00B06C1C">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35F3C71" w14:textId="77777777" w:rsidR="00B06C1C" w:rsidRDefault="00B06C1C" w:rsidP="00B06C1C">
      <w:pPr>
        <w:pStyle w:val="TOC1"/>
        <w:jc w:val="both"/>
      </w:pPr>
      <w:r>
        <w:t>Observation 8</w:t>
      </w:r>
      <w:r w:rsidRPr="00DB0A9F">
        <w:rPr>
          <w:rFonts w:ascii="Calibri" w:eastAsia="SimSun" w:hAnsi="Calibri"/>
          <w:b w:val="0"/>
          <w:sz w:val="22"/>
        </w:rPr>
        <w:tab/>
      </w:r>
      <w:r>
        <w:t>If sending the NR cell identifier via broadcast is costly in a multi-beam system, dedicated transmission should be used.</w:t>
      </w:r>
    </w:p>
    <w:p w14:paraId="44A7F149" w14:textId="77777777" w:rsidR="005843F7" w:rsidRDefault="005843F7" w:rsidP="005843F7">
      <w:pPr>
        <w:pStyle w:val="TOC1"/>
        <w:jc w:val="both"/>
      </w:pPr>
      <w:r w:rsidRPr="004D005E">
        <w:t xml:space="preserve">Observation </w:t>
      </w:r>
      <w:r>
        <w:t>9</w:t>
      </w:r>
      <w:r w:rsidRPr="004D005E">
        <w:rPr>
          <w:rFonts w:ascii="Calibri" w:eastAsia="SimSun" w:hAnsi="Calibri"/>
          <w:sz w:val="22"/>
        </w:rPr>
        <w:tab/>
      </w:r>
      <w:r>
        <w:t>T</w:t>
      </w:r>
      <w:r w:rsidRPr="004D005E">
        <w:t>he problem of pingpong at state transition is not severe even in extreme cases of beamforming differences (none for idle compared to 256 beams in active)</w:t>
      </w:r>
      <w:r w:rsidRPr="00B243A5">
        <w:t>.</w:t>
      </w:r>
    </w:p>
    <w:p w14:paraId="79E04A2B" w14:textId="77777777" w:rsidR="005843F7" w:rsidRDefault="005843F7" w:rsidP="005843F7">
      <w:pPr>
        <w:pStyle w:val="TOC1"/>
        <w:jc w:val="both"/>
      </w:pPr>
    </w:p>
    <w:p w14:paraId="6511C9FA" w14:textId="77777777" w:rsidR="00393601" w:rsidRPr="00B45A17" w:rsidRDefault="00393601" w:rsidP="00393601">
      <w:pPr>
        <w:rPr>
          <w:b/>
          <w:lang w:val="en-US"/>
        </w:rPr>
      </w:pPr>
    </w:p>
    <w:p w14:paraId="3389098E" w14:textId="77777777" w:rsidR="00B06C1C" w:rsidRPr="00B06C1C" w:rsidRDefault="0018144B" w:rsidP="00B45A17">
      <w:pPr>
        <w:pStyle w:val="TOC1"/>
        <w:jc w:val="both"/>
        <w:rPr>
          <w:rFonts w:ascii="Calibri" w:eastAsia="SimSun" w:hAnsi="Calibri"/>
          <w:sz w:val="22"/>
        </w:rPr>
      </w:pPr>
      <w:r w:rsidRPr="00B06C1C">
        <w:t>Proposal 1</w:t>
      </w:r>
      <w:r w:rsidRPr="00B06C1C">
        <w:rPr>
          <w:rFonts w:ascii="Calibri" w:eastAsia="SimSun" w:hAnsi="Calibri"/>
          <w:sz w:val="22"/>
        </w:rPr>
        <w:tab/>
      </w:r>
      <w:r w:rsidR="00B06C1C" w:rsidRPr="00B06C1C">
        <w:rPr>
          <w:rFonts w:ascii="Calibri" w:eastAsia="SimSun" w:hAnsi="Calibri"/>
          <w:sz w:val="22"/>
        </w:rPr>
        <w:t xml:space="preserve">NR should support mechanisms to avoid inter gNB mobility and double context move upon state transitions between CONNECTED and IDLE/inactive ‘state’.  </w:t>
      </w:r>
    </w:p>
    <w:p w14:paraId="29F318DF" w14:textId="05965AD8" w:rsidR="00B06C1C" w:rsidRDefault="00B45A17" w:rsidP="00B06C1C">
      <w:pPr>
        <w:pStyle w:val="TOC1"/>
        <w:jc w:val="both"/>
      </w:pPr>
      <w:r>
        <w:t>Proposal 2</w:t>
      </w:r>
      <w:r w:rsidRPr="00DB0A9F">
        <w:rPr>
          <w:rFonts w:ascii="Calibri" w:eastAsia="SimSun" w:hAnsi="Calibri"/>
          <w:b w:val="0"/>
          <w:sz w:val="22"/>
        </w:rPr>
        <w:tab/>
      </w:r>
      <w:r w:rsidR="00B06C1C">
        <w:t>UEs in CONNECTED state should be aware of the cell they are connected to.</w:t>
      </w:r>
    </w:p>
    <w:p w14:paraId="469B9EE3" w14:textId="58053F40" w:rsidR="0018144B" w:rsidRDefault="005843F7" w:rsidP="00B06C1C">
      <w:pPr>
        <w:pStyle w:val="TOC1"/>
        <w:jc w:val="both"/>
      </w:pPr>
      <w:r>
        <w:t xml:space="preserve">Proposal </w:t>
      </w:r>
      <w:r w:rsidR="00496567">
        <w:t>3</w:t>
      </w:r>
      <w:r w:rsidRPr="00DB0A9F">
        <w:rPr>
          <w:rFonts w:ascii="Calibri" w:eastAsia="SimSun" w:hAnsi="Calibri"/>
          <w:b w:val="0"/>
          <w:sz w:val="22"/>
        </w:rPr>
        <w:tab/>
      </w:r>
      <w:r>
        <w:t xml:space="preserve">It is proposed to capture the above results in the </w:t>
      </w:r>
      <w:r w:rsidR="00AD3B29">
        <w:t>LS reply</w:t>
      </w:r>
      <w:r>
        <w:t xml:space="preserve"> related to the RSs to be used for active and idle mode RRM measurements.</w:t>
      </w:r>
    </w:p>
    <w:p w14:paraId="0DC2EDDA" w14:textId="77777777" w:rsidR="00B06C1C" w:rsidRPr="00B45A17" w:rsidRDefault="00B06C1C" w:rsidP="005E34A4">
      <w:pPr>
        <w:pStyle w:val="Proposal"/>
        <w:numPr>
          <w:ilvl w:val="0"/>
          <w:numId w:val="0"/>
        </w:numPr>
        <w:rPr>
          <w:lang w:val="en-US"/>
        </w:rPr>
      </w:pPr>
    </w:p>
    <w:p w14:paraId="2BC53028" w14:textId="77777777" w:rsidR="00F507D1" w:rsidRPr="00CE0424" w:rsidRDefault="00F507D1" w:rsidP="00CE0424">
      <w:pPr>
        <w:pStyle w:val="Heading1"/>
      </w:pPr>
      <w:bookmarkStart w:id="5" w:name="_In-sequence_SDU_delivery"/>
      <w:bookmarkEnd w:id="5"/>
      <w:r w:rsidRPr="00CE0424">
        <w:t>References</w:t>
      </w:r>
    </w:p>
    <w:p w14:paraId="0F0B99D6" w14:textId="3674C17A" w:rsidR="00311C16" w:rsidRPr="009C559F" w:rsidRDefault="00311C16" w:rsidP="0090659A">
      <w:pPr>
        <w:pStyle w:val="Reference"/>
      </w:pPr>
      <w:bookmarkStart w:id="6" w:name="_Ref174151459"/>
      <w:bookmarkStart w:id="7" w:name="_Ref189809556"/>
      <w:bookmarkStart w:id="8" w:name="_Ref458687908"/>
      <w:r w:rsidRPr="00A97DC0">
        <w:rPr>
          <w:rFonts w:cs="Arial"/>
        </w:rPr>
        <w:t>Draft</w:t>
      </w:r>
      <w:r>
        <w:rPr>
          <w:rFonts w:cs="Arial"/>
        </w:rPr>
        <w:t xml:space="preserve"> Report of 3GPP TSG RAN WG2 meeting #95</w:t>
      </w:r>
    </w:p>
    <w:p w14:paraId="382F3A84" w14:textId="5A4FAC11" w:rsidR="009C559F" w:rsidRDefault="009C559F" w:rsidP="0090659A">
      <w:pPr>
        <w:pStyle w:val="Reference"/>
      </w:pPr>
      <w:bookmarkStart w:id="9" w:name="_Ref462835077"/>
      <w:r>
        <w:t>R2-164725 Intra-5G Mobility related requirements, Samsung</w:t>
      </w:r>
      <w:bookmarkEnd w:id="9"/>
    </w:p>
    <w:p w14:paraId="3D88F3C6" w14:textId="78A98C78" w:rsidR="00140E2F" w:rsidRDefault="00140E2F" w:rsidP="0090659A">
      <w:pPr>
        <w:pStyle w:val="Reference"/>
      </w:pPr>
      <w:bookmarkStart w:id="10" w:name="_Ref465848065"/>
      <w:r>
        <w:t>R1-</w:t>
      </w:r>
      <w:r w:rsidR="00263CB8">
        <w:t>1611916</w:t>
      </w:r>
      <w:r>
        <w:t>, “</w:t>
      </w:r>
      <w:r w:rsidRPr="008B6D83">
        <w:t>Inclusion of cell ID in MRS</w:t>
      </w:r>
      <w:r>
        <w:t xml:space="preserve">”, Ericsson, </w:t>
      </w:r>
      <w:r w:rsidRPr="00CE0424">
        <w:t>3GPP TSG-RAN WG</w:t>
      </w:r>
      <w:r>
        <w:t>1</w:t>
      </w:r>
      <w:r w:rsidRPr="00CE0424">
        <w:t xml:space="preserve"> </w:t>
      </w:r>
      <w:r>
        <w:t xml:space="preserve">Meeting </w:t>
      </w:r>
      <w:r w:rsidRPr="00CE0424">
        <w:t>#</w:t>
      </w:r>
      <w:r>
        <w:t>87, November 2016.</w:t>
      </w:r>
      <w:bookmarkEnd w:id="10"/>
    </w:p>
    <w:p w14:paraId="1B7ED1CE" w14:textId="2E48CB3A" w:rsidR="003474C0" w:rsidRDefault="003474C0" w:rsidP="005D641B">
      <w:pPr>
        <w:pStyle w:val="Reference"/>
        <w:numPr>
          <w:ilvl w:val="0"/>
          <w:numId w:val="0"/>
        </w:numPr>
        <w:ind w:left="567" w:hanging="567"/>
      </w:pPr>
    </w:p>
    <w:p w14:paraId="39A930BC" w14:textId="77777777" w:rsidR="003474C0" w:rsidRPr="00DC5E33" w:rsidRDefault="003474C0" w:rsidP="005D641B">
      <w:pPr>
        <w:pStyle w:val="Reference"/>
        <w:numPr>
          <w:ilvl w:val="0"/>
          <w:numId w:val="0"/>
        </w:numPr>
        <w:ind w:left="567" w:hanging="567"/>
      </w:pPr>
    </w:p>
    <w:bookmarkEnd w:id="6"/>
    <w:bookmarkEnd w:id="7"/>
    <w:bookmarkEnd w:id="8"/>
    <w:p w14:paraId="7A1911CD" w14:textId="085A66F8" w:rsidR="008E3313" w:rsidRPr="00961B10" w:rsidRDefault="003474C0" w:rsidP="005D641B">
      <w:pPr>
        <w:pStyle w:val="Heading1"/>
      </w:pPr>
      <w:r>
        <w:t>APPENDIX</w:t>
      </w:r>
    </w:p>
    <w:p w14:paraId="1B611D53" w14:textId="6322E5A4" w:rsidR="00A1413E" w:rsidRDefault="00A1413E" w:rsidP="005D641B">
      <w:pPr>
        <w:pStyle w:val="Heading2"/>
      </w:pPr>
      <w:r>
        <w:t>Simulation settings</w:t>
      </w:r>
    </w:p>
    <w:p w14:paraId="4CD0A695" w14:textId="77777777" w:rsidR="003474C0" w:rsidRPr="003474C0" w:rsidRDefault="003474C0"/>
    <w:tbl>
      <w:tblPr>
        <w:tblStyle w:val="TableGrid"/>
        <w:tblW w:w="0" w:type="auto"/>
        <w:tblLook w:val="04A0" w:firstRow="1" w:lastRow="0" w:firstColumn="1" w:lastColumn="0" w:noHBand="0" w:noVBand="1"/>
      </w:tblPr>
      <w:tblGrid>
        <w:gridCol w:w="4814"/>
        <w:gridCol w:w="4815"/>
      </w:tblGrid>
      <w:tr w:rsidR="003474C0" w14:paraId="3F54FC18" w14:textId="77777777" w:rsidTr="003474C0">
        <w:tc>
          <w:tcPr>
            <w:tcW w:w="4814" w:type="dxa"/>
          </w:tcPr>
          <w:p w14:paraId="3EC0AE19" w14:textId="725B27B0" w:rsidR="003474C0" w:rsidRDefault="003474C0" w:rsidP="008E3313">
            <w:r>
              <w:t>Simulation Parameter</w:t>
            </w:r>
          </w:p>
        </w:tc>
        <w:tc>
          <w:tcPr>
            <w:tcW w:w="4815" w:type="dxa"/>
          </w:tcPr>
          <w:p w14:paraId="00E3D452" w14:textId="4C343CCC" w:rsidR="003474C0" w:rsidRDefault="003474C0" w:rsidP="008E3313">
            <w:r>
              <w:t>Parameter value</w:t>
            </w:r>
          </w:p>
        </w:tc>
      </w:tr>
      <w:tr w:rsidR="003474C0" w14:paraId="55059026" w14:textId="77777777" w:rsidTr="003474C0">
        <w:tc>
          <w:tcPr>
            <w:tcW w:w="4814" w:type="dxa"/>
          </w:tcPr>
          <w:p w14:paraId="3A58084D" w14:textId="1FB3CC65" w:rsidR="003474C0" w:rsidRDefault="003474C0" w:rsidP="008E3313">
            <w:r>
              <w:t>Deployment</w:t>
            </w:r>
          </w:p>
        </w:tc>
        <w:tc>
          <w:tcPr>
            <w:tcW w:w="4815" w:type="dxa"/>
          </w:tcPr>
          <w:p w14:paraId="5E434045" w14:textId="008C532D" w:rsidR="003474C0" w:rsidRDefault="003474C0" w:rsidP="008E3313">
            <w:r>
              <w:t>Dense urban</w:t>
            </w:r>
          </w:p>
        </w:tc>
      </w:tr>
      <w:tr w:rsidR="003474C0" w14:paraId="0E0454B0" w14:textId="77777777" w:rsidTr="003474C0">
        <w:tc>
          <w:tcPr>
            <w:tcW w:w="4814" w:type="dxa"/>
          </w:tcPr>
          <w:p w14:paraId="5177F006" w14:textId="33FADED9" w:rsidR="003474C0" w:rsidRDefault="003474C0" w:rsidP="008E3313">
            <w:r>
              <w:t># sites</w:t>
            </w:r>
          </w:p>
        </w:tc>
        <w:tc>
          <w:tcPr>
            <w:tcW w:w="4815" w:type="dxa"/>
          </w:tcPr>
          <w:p w14:paraId="013FF771" w14:textId="4C2A0230" w:rsidR="003474C0" w:rsidRDefault="003474C0" w:rsidP="008E3313">
            <w:r>
              <w:t>7 sites on tall buildings with 250m ISD and 28 sites on shorter buildings with 500 m ISD</w:t>
            </w:r>
          </w:p>
        </w:tc>
      </w:tr>
      <w:tr w:rsidR="003474C0" w14:paraId="6C25CB7E" w14:textId="77777777" w:rsidTr="003474C0">
        <w:tc>
          <w:tcPr>
            <w:tcW w:w="4814" w:type="dxa"/>
          </w:tcPr>
          <w:p w14:paraId="5731A4FA" w14:textId="2AEED7E7" w:rsidR="003474C0" w:rsidRDefault="003474C0" w:rsidP="008E3313">
            <w:r>
              <w:t># sectors/site</w:t>
            </w:r>
          </w:p>
        </w:tc>
        <w:tc>
          <w:tcPr>
            <w:tcW w:w="4815" w:type="dxa"/>
          </w:tcPr>
          <w:p w14:paraId="2692E346" w14:textId="7A84556A" w:rsidR="003474C0" w:rsidRDefault="003474C0" w:rsidP="008E3313">
            <w:r>
              <w:t>3</w:t>
            </w:r>
          </w:p>
        </w:tc>
      </w:tr>
      <w:tr w:rsidR="003474C0" w14:paraId="40EA7351" w14:textId="77777777" w:rsidTr="003474C0">
        <w:tc>
          <w:tcPr>
            <w:tcW w:w="4814" w:type="dxa"/>
          </w:tcPr>
          <w:p w14:paraId="00FCA387" w14:textId="6873BF26" w:rsidR="003474C0" w:rsidRDefault="003474C0" w:rsidP="008E3313">
            <w:r>
              <w:lastRenderedPageBreak/>
              <w:t>Propagation model</w:t>
            </w:r>
          </w:p>
        </w:tc>
        <w:tc>
          <w:tcPr>
            <w:tcW w:w="4815" w:type="dxa"/>
          </w:tcPr>
          <w:p w14:paraId="771A242B" w14:textId="2F20E1F6" w:rsidR="003474C0" w:rsidRDefault="003474C0" w:rsidP="008E3313">
            <w:r>
              <w:t>5G models in 3GPP TR 38.900 (section 7.8)</w:t>
            </w:r>
          </w:p>
        </w:tc>
      </w:tr>
      <w:tr w:rsidR="003474C0" w14:paraId="2BF201CD" w14:textId="77777777" w:rsidTr="003474C0">
        <w:tc>
          <w:tcPr>
            <w:tcW w:w="4814" w:type="dxa"/>
          </w:tcPr>
          <w:p w14:paraId="7D56CCCE" w14:textId="4C02D21B" w:rsidR="003474C0" w:rsidRDefault="003474C0" w:rsidP="008E3313">
            <w:r>
              <w:t>Operating freq</w:t>
            </w:r>
          </w:p>
        </w:tc>
        <w:tc>
          <w:tcPr>
            <w:tcW w:w="4815" w:type="dxa"/>
          </w:tcPr>
          <w:p w14:paraId="05FBE7A3" w14:textId="1AA66D1F" w:rsidR="003474C0" w:rsidRDefault="003474C0" w:rsidP="008E3313">
            <w:r>
              <w:t>28 GHz</w:t>
            </w:r>
          </w:p>
        </w:tc>
      </w:tr>
      <w:tr w:rsidR="003474C0" w14:paraId="0693635F" w14:textId="77777777" w:rsidTr="003474C0">
        <w:tc>
          <w:tcPr>
            <w:tcW w:w="4814" w:type="dxa"/>
          </w:tcPr>
          <w:p w14:paraId="7E3BE80A" w14:textId="4A3AAE96" w:rsidR="003474C0" w:rsidRDefault="003474C0" w:rsidP="008E3313">
            <w:r>
              <w:t xml:space="preserve">Number of antenna elements </w:t>
            </w:r>
          </w:p>
        </w:tc>
        <w:tc>
          <w:tcPr>
            <w:tcW w:w="4815" w:type="dxa"/>
          </w:tcPr>
          <w:p w14:paraId="5B41CE47" w14:textId="49B724AF" w:rsidR="003474C0" w:rsidRDefault="003474C0" w:rsidP="008E3313">
            <w:r>
              <w:t>Upto 256</w:t>
            </w:r>
          </w:p>
        </w:tc>
      </w:tr>
      <w:tr w:rsidR="003474C0" w14:paraId="4B843858" w14:textId="77777777" w:rsidTr="003474C0">
        <w:tc>
          <w:tcPr>
            <w:tcW w:w="4814" w:type="dxa"/>
          </w:tcPr>
          <w:p w14:paraId="5F57E45D" w14:textId="4E48FA75" w:rsidR="003474C0" w:rsidRDefault="003474C0" w:rsidP="008E3313">
            <w:r>
              <w:t>Number of users</w:t>
            </w:r>
          </w:p>
        </w:tc>
        <w:tc>
          <w:tcPr>
            <w:tcW w:w="4815" w:type="dxa"/>
          </w:tcPr>
          <w:p w14:paraId="49E0AE1C" w14:textId="34C15C0C" w:rsidR="003474C0" w:rsidRDefault="003474C0" w:rsidP="008E3313">
            <w:r>
              <w:t xml:space="preserve">10,000 users distributed in x,y,z planes </w:t>
            </w:r>
          </w:p>
        </w:tc>
      </w:tr>
    </w:tbl>
    <w:p w14:paraId="245ADE33" w14:textId="77777777" w:rsidR="00A1413E" w:rsidRPr="00CE0424" w:rsidRDefault="00A1413E" w:rsidP="008E3313"/>
    <w:sectPr w:rsidR="00A1413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C0212" w14:textId="77777777" w:rsidR="001B20C5" w:rsidRDefault="001B20C5">
      <w:r>
        <w:separator/>
      </w:r>
    </w:p>
  </w:endnote>
  <w:endnote w:type="continuationSeparator" w:id="0">
    <w:p w14:paraId="392A9731" w14:textId="77777777" w:rsidR="001B20C5" w:rsidRDefault="001B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2068A8ED" w:rsidR="00347EB7" w:rsidRDefault="00347E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63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638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A7A3E" w14:textId="77777777" w:rsidR="001B20C5" w:rsidRDefault="001B20C5">
      <w:r>
        <w:separator/>
      </w:r>
    </w:p>
  </w:footnote>
  <w:footnote w:type="continuationSeparator" w:id="0">
    <w:p w14:paraId="3811D77F" w14:textId="77777777" w:rsidR="001B20C5" w:rsidRDefault="001B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347EB7" w:rsidRDefault="00347E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36"/>
        </w:tabs>
        <w:ind w:left="36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1668"/>
    <w:multiLevelType w:val="hybridMultilevel"/>
    <w:tmpl w:val="0B6A1C1E"/>
    <w:lvl w:ilvl="0" w:tplc="09EAA3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F263A"/>
    <w:multiLevelType w:val="hybridMultilevel"/>
    <w:tmpl w:val="7DBC1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D12016"/>
    <w:multiLevelType w:val="hybridMultilevel"/>
    <w:tmpl w:val="B62C27BC"/>
    <w:lvl w:ilvl="0" w:tplc="26EC9FCA">
      <w:start w:val="4"/>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5755F"/>
    <w:multiLevelType w:val="hybridMultilevel"/>
    <w:tmpl w:val="4D7293E8"/>
    <w:lvl w:ilvl="0" w:tplc="24AC4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25001D"/>
    <w:multiLevelType w:val="hybridMultilevel"/>
    <w:tmpl w:val="6D0277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B7666C"/>
    <w:multiLevelType w:val="hybridMultilevel"/>
    <w:tmpl w:val="EABA7FB0"/>
    <w:lvl w:ilvl="0" w:tplc="E24C2CAE">
      <w:start w:val="1"/>
      <w:numFmt w:val="bullet"/>
      <w:pStyle w:val="BodyBullet1"/>
      <w:lvlText w:val=""/>
      <w:lvlJc w:val="left"/>
      <w:pPr>
        <w:ind w:left="2024" w:hanging="360"/>
      </w:pPr>
      <w:rPr>
        <w:rFonts w:ascii="Symbol" w:hAnsi="Symbol" w:hint="default"/>
      </w:rPr>
    </w:lvl>
    <w:lvl w:ilvl="1" w:tplc="1918346C">
      <w:start w:val="1"/>
      <w:numFmt w:val="bullet"/>
      <w:pStyle w:val="BodyBullet2"/>
      <w:lvlText w:val="o"/>
      <w:lvlJc w:val="left"/>
      <w:pPr>
        <w:ind w:left="2744" w:hanging="360"/>
      </w:pPr>
      <w:rPr>
        <w:rFonts w:ascii="Courier New" w:hAnsi="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5"/>
  </w:num>
  <w:num w:numId="4">
    <w:abstractNumId w:val="27"/>
  </w:num>
  <w:num w:numId="5">
    <w:abstractNumId w:val="20"/>
  </w:num>
  <w:num w:numId="6">
    <w:abstractNumId w:val="30"/>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0"/>
  </w:num>
  <w:num w:numId="17">
    <w:abstractNumId w:val="34"/>
  </w:num>
  <w:num w:numId="18">
    <w:abstractNumId w:val="14"/>
  </w:num>
  <w:num w:numId="19">
    <w:abstractNumId w:val="25"/>
  </w:num>
  <w:num w:numId="20">
    <w:abstractNumId w:val="37"/>
  </w:num>
  <w:num w:numId="21">
    <w:abstractNumId w:val="4"/>
  </w:num>
  <w:num w:numId="22">
    <w:abstractNumId w:val="42"/>
  </w:num>
  <w:num w:numId="23">
    <w:abstractNumId w:val="39"/>
  </w:num>
  <w:num w:numId="24">
    <w:abstractNumId w:val="12"/>
  </w:num>
  <w:num w:numId="25">
    <w:abstractNumId w:val="38"/>
  </w:num>
  <w:num w:numId="26">
    <w:abstractNumId w:val="25"/>
    <w:lvlOverride w:ilvl="0">
      <w:startOverride w:val="1"/>
    </w:lvlOverride>
  </w:num>
  <w:num w:numId="27">
    <w:abstractNumId w:val="36"/>
  </w:num>
  <w:num w:numId="28">
    <w:abstractNumId w:val="26"/>
  </w:num>
  <w:num w:numId="29">
    <w:abstractNumId w:val="17"/>
  </w:num>
  <w:num w:numId="30">
    <w:abstractNumId w:val="16"/>
  </w:num>
  <w:num w:numId="31">
    <w:abstractNumId w:val="31"/>
  </w:num>
  <w:num w:numId="32">
    <w:abstractNumId w:val="7"/>
  </w:num>
  <w:num w:numId="33">
    <w:abstractNumId w:val="13"/>
  </w:num>
  <w:num w:numId="34">
    <w:abstractNumId w:val="11"/>
  </w:num>
  <w:num w:numId="35">
    <w:abstractNumId w:val="41"/>
  </w:num>
  <w:num w:numId="36">
    <w:abstractNumId w:val="15"/>
  </w:num>
  <w:num w:numId="37">
    <w:abstractNumId w:val="33"/>
    <w:lvlOverride w:ilvl="0">
      <w:startOverride w:val="1"/>
    </w:lvlOverride>
  </w:num>
  <w:num w:numId="38">
    <w:abstractNumId w:val="25"/>
    <w:lvlOverride w:ilvl="0">
      <w:startOverride w:val="1"/>
    </w:lvlOverride>
  </w:num>
  <w:num w:numId="39">
    <w:abstractNumId w:val="24"/>
  </w:num>
  <w:num w:numId="40">
    <w:abstractNumId w:val="8"/>
  </w:num>
  <w:num w:numId="41">
    <w:abstractNumId w:val="10"/>
  </w:num>
  <w:num w:numId="42">
    <w:abstractNumId w:val="19"/>
  </w:num>
  <w:num w:numId="43">
    <w:abstractNumId w:val="6"/>
  </w:num>
  <w:num w:numId="44">
    <w:abstractNumId w:val="23"/>
  </w:num>
  <w:num w:numId="45">
    <w:abstractNumId w:val="29"/>
  </w:num>
  <w:num w:numId="46">
    <w:abstractNumId w:val="9"/>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E81"/>
    <w:rsid w:val="00006446"/>
    <w:rsid w:val="00006896"/>
    <w:rsid w:val="00006B58"/>
    <w:rsid w:val="000072B5"/>
    <w:rsid w:val="00007CDC"/>
    <w:rsid w:val="00011B28"/>
    <w:rsid w:val="00015D15"/>
    <w:rsid w:val="00024D29"/>
    <w:rsid w:val="0002564D"/>
    <w:rsid w:val="00025ECA"/>
    <w:rsid w:val="00027939"/>
    <w:rsid w:val="000319A8"/>
    <w:rsid w:val="000325B8"/>
    <w:rsid w:val="000343B6"/>
    <w:rsid w:val="00034C15"/>
    <w:rsid w:val="00036BA1"/>
    <w:rsid w:val="000376BC"/>
    <w:rsid w:val="000422E2"/>
    <w:rsid w:val="0004244D"/>
    <w:rsid w:val="00042F22"/>
    <w:rsid w:val="000444EF"/>
    <w:rsid w:val="0004676E"/>
    <w:rsid w:val="0005087B"/>
    <w:rsid w:val="00052A07"/>
    <w:rsid w:val="000534E3"/>
    <w:rsid w:val="0005606A"/>
    <w:rsid w:val="00057117"/>
    <w:rsid w:val="000616E7"/>
    <w:rsid w:val="0006487E"/>
    <w:rsid w:val="00065E1A"/>
    <w:rsid w:val="00072A97"/>
    <w:rsid w:val="00073568"/>
    <w:rsid w:val="00075E94"/>
    <w:rsid w:val="00077E5F"/>
    <w:rsid w:val="0008036A"/>
    <w:rsid w:val="00081AE6"/>
    <w:rsid w:val="000855EB"/>
    <w:rsid w:val="00085B52"/>
    <w:rsid w:val="000866F2"/>
    <w:rsid w:val="0009009F"/>
    <w:rsid w:val="00091557"/>
    <w:rsid w:val="000924C1"/>
    <w:rsid w:val="000924F0"/>
    <w:rsid w:val="00092A72"/>
    <w:rsid w:val="00093474"/>
    <w:rsid w:val="00094591"/>
    <w:rsid w:val="0009510F"/>
    <w:rsid w:val="00096280"/>
    <w:rsid w:val="000A0CA2"/>
    <w:rsid w:val="000A1B7B"/>
    <w:rsid w:val="000A234B"/>
    <w:rsid w:val="000A56F2"/>
    <w:rsid w:val="000B010B"/>
    <w:rsid w:val="000B2719"/>
    <w:rsid w:val="000B3A8F"/>
    <w:rsid w:val="000B4AB9"/>
    <w:rsid w:val="000B58C3"/>
    <w:rsid w:val="000B61E9"/>
    <w:rsid w:val="000C165A"/>
    <w:rsid w:val="000C2E19"/>
    <w:rsid w:val="000C3073"/>
    <w:rsid w:val="000D0D07"/>
    <w:rsid w:val="000D1B45"/>
    <w:rsid w:val="000D32A1"/>
    <w:rsid w:val="000D4797"/>
    <w:rsid w:val="000D7FFD"/>
    <w:rsid w:val="000E0527"/>
    <w:rsid w:val="000E1D3B"/>
    <w:rsid w:val="000E1E92"/>
    <w:rsid w:val="000F06D6"/>
    <w:rsid w:val="000F0EB1"/>
    <w:rsid w:val="000F1106"/>
    <w:rsid w:val="000F2B09"/>
    <w:rsid w:val="000F3BE9"/>
    <w:rsid w:val="000F3F6C"/>
    <w:rsid w:val="000F6DF3"/>
    <w:rsid w:val="001005FF"/>
    <w:rsid w:val="001046F2"/>
    <w:rsid w:val="001062FB"/>
    <w:rsid w:val="001063E6"/>
    <w:rsid w:val="0011051C"/>
    <w:rsid w:val="00110B33"/>
    <w:rsid w:val="00113CF4"/>
    <w:rsid w:val="001153EA"/>
    <w:rsid w:val="00115643"/>
    <w:rsid w:val="00116765"/>
    <w:rsid w:val="00116A99"/>
    <w:rsid w:val="00120066"/>
    <w:rsid w:val="00120CD4"/>
    <w:rsid w:val="0012164E"/>
    <w:rsid w:val="001219F5"/>
    <w:rsid w:val="00121A20"/>
    <w:rsid w:val="00122F2E"/>
    <w:rsid w:val="0012377F"/>
    <w:rsid w:val="00124314"/>
    <w:rsid w:val="00126B4A"/>
    <w:rsid w:val="00132FD0"/>
    <w:rsid w:val="001344C0"/>
    <w:rsid w:val="001346FA"/>
    <w:rsid w:val="001348A4"/>
    <w:rsid w:val="00135252"/>
    <w:rsid w:val="00137A8D"/>
    <w:rsid w:val="00137AB5"/>
    <w:rsid w:val="00137F0B"/>
    <w:rsid w:val="00140E2F"/>
    <w:rsid w:val="00151E23"/>
    <w:rsid w:val="001526E0"/>
    <w:rsid w:val="0015287F"/>
    <w:rsid w:val="001551B5"/>
    <w:rsid w:val="00161BD4"/>
    <w:rsid w:val="001643A8"/>
    <w:rsid w:val="001659C1"/>
    <w:rsid w:val="00166D4C"/>
    <w:rsid w:val="001670A1"/>
    <w:rsid w:val="00173A8E"/>
    <w:rsid w:val="001742AB"/>
    <w:rsid w:val="00177795"/>
    <w:rsid w:val="0018143F"/>
    <w:rsid w:val="0018144B"/>
    <w:rsid w:val="00183CB3"/>
    <w:rsid w:val="00183EE0"/>
    <w:rsid w:val="00190AC1"/>
    <w:rsid w:val="0019341A"/>
    <w:rsid w:val="001959B4"/>
    <w:rsid w:val="00197DF9"/>
    <w:rsid w:val="001A1987"/>
    <w:rsid w:val="001A243E"/>
    <w:rsid w:val="001A2564"/>
    <w:rsid w:val="001A2D48"/>
    <w:rsid w:val="001A6173"/>
    <w:rsid w:val="001A6CBA"/>
    <w:rsid w:val="001B0D97"/>
    <w:rsid w:val="001B148F"/>
    <w:rsid w:val="001B20C5"/>
    <w:rsid w:val="001B4D93"/>
    <w:rsid w:val="001B5A5D"/>
    <w:rsid w:val="001C1CE5"/>
    <w:rsid w:val="001C2218"/>
    <w:rsid w:val="001C2A66"/>
    <w:rsid w:val="001C3D2A"/>
    <w:rsid w:val="001C6495"/>
    <w:rsid w:val="001D274A"/>
    <w:rsid w:val="001D51BA"/>
    <w:rsid w:val="001D61C2"/>
    <w:rsid w:val="001D6342"/>
    <w:rsid w:val="001D6D53"/>
    <w:rsid w:val="001E0A77"/>
    <w:rsid w:val="001E0D77"/>
    <w:rsid w:val="001E58E2"/>
    <w:rsid w:val="001E7AED"/>
    <w:rsid w:val="001E7B14"/>
    <w:rsid w:val="001F07C6"/>
    <w:rsid w:val="001F38D3"/>
    <w:rsid w:val="001F3916"/>
    <w:rsid w:val="001F54C5"/>
    <w:rsid w:val="001F5C52"/>
    <w:rsid w:val="001F662C"/>
    <w:rsid w:val="001F7074"/>
    <w:rsid w:val="00200490"/>
    <w:rsid w:val="00201F3A"/>
    <w:rsid w:val="00203F96"/>
    <w:rsid w:val="00204372"/>
    <w:rsid w:val="002069B2"/>
    <w:rsid w:val="00206D42"/>
    <w:rsid w:val="0020787F"/>
    <w:rsid w:val="00207FA3"/>
    <w:rsid w:val="00214DA8"/>
    <w:rsid w:val="00215423"/>
    <w:rsid w:val="002158FA"/>
    <w:rsid w:val="00220600"/>
    <w:rsid w:val="002224DB"/>
    <w:rsid w:val="00223FCB"/>
    <w:rsid w:val="002252C3"/>
    <w:rsid w:val="00225C54"/>
    <w:rsid w:val="00226C62"/>
    <w:rsid w:val="00230765"/>
    <w:rsid w:val="002319E4"/>
    <w:rsid w:val="00235632"/>
    <w:rsid w:val="00235872"/>
    <w:rsid w:val="00241559"/>
    <w:rsid w:val="002435B3"/>
    <w:rsid w:val="002458EB"/>
    <w:rsid w:val="002500C8"/>
    <w:rsid w:val="00250597"/>
    <w:rsid w:val="00256DAD"/>
    <w:rsid w:val="00257543"/>
    <w:rsid w:val="002617E7"/>
    <w:rsid w:val="00261FC8"/>
    <w:rsid w:val="00263CB8"/>
    <w:rsid w:val="00264228"/>
    <w:rsid w:val="00264334"/>
    <w:rsid w:val="0026473E"/>
    <w:rsid w:val="00266214"/>
    <w:rsid w:val="00266A6D"/>
    <w:rsid w:val="00267C83"/>
    <w:rsid w:val="00267C8E"/>
    <w:rsid w:val="002705DE"/>
    <w:rsid w:val="0027144F"/>
    <w:rsid w:val="00271F3A"/>
    <w:rsid w:val="00273278"/>
    <w:rsid w:val="002737F4"/>
    <w:rsid w:val="00274256"/>
    <w:rsid w:val="002805F5"/>
    <w:rsid w:val="00280751"/>
    <w:rsid w:val="0028280A"/>
    <w:rsid w:val="00286ACD"/>
    <w:rsid w:val="00287838"/>
    <w:rsid w:val="002907B5"/>
    <w:rsid w:val="00291562"/>
    <w:rsid w:val="00291B6E"/>
    <w:rsid w:val="00292EB7"/>
    <w:rsid w:val="00296227"/>
    <w:rsid w:val="00296F44"/>
    <w:rsid w:val="0029776A"/>
    <w:rsid w:val="0029777D"/>
    <w:rsid w:val="002A055E"/>
    <w:rsid w:val="002A1D4E"/>
    <w:rsid w:val="002A2869"/>
    <w:rsid w:val="002A550A"/>
    <w:rsid w:val="002B223F"/>
    <w:rsid w:val="002B24D6"/>
    <w:rsid w:val="002C0E53"/>
    <w:rsid w:val="002C41E6"/>
    <w:rsid w:val="002C429E"/>
    <w:rsid w:val="002C4483"/>
    <w:rsid w:val="002C5255"/>
    <w:rsid w:val="002D071A"/>
    <w:rsid w:val="002D21A0"/>
    <w:rsid w:val="002D2ECD"/>
    <w:rsid w:val="002D34B2"/>
    <w:rsid w:val="002D7174"/>
    <w:rsid w:val="002D7637"/>
    <w:rsid w:val="002E17F2"/>
    <w:rsid w:val="002E3540"/>
    <w:rsid w:val="002E3EA2"/>
    <w:rsid w:val="002E63BE"/>
    <w:rsid w:val="002E7CAE"/>
    <w:rsid w:val="002F2734"/>
    <w:rsid w:val="002F2771"/>
    <w:rsid w:val="002F37A9"/>
    <w:rsid w:val="002F524F"/>
    <w:rsid w:val="002F6652"/>
    <w:rsid w:val="00301CE6"/>
    <w:rsid w:val="0030256B"/>
    <w:rsid w:val="0030501F"/>
    <w:rsid w:val="00307BA1"/>
    <w:rsid w:val="003114F4"/>
    <w:rsid w:val="00311702"/>
    <w:rsid w:val="00311C16"/>
    <w:rsid w:val="00311E82"/>
    <w:rsid w:val="00312FF4"/>
    <w:rsid w:val="00313FD6"/>
    <w:rsid w:val="003143BD"/>
    <w:rsid w:val="00315748"/>
    <w:rsid w:val="003203ED"/>
    <w:rsid w:val="00321307"/>
    <w:rsid w:val="00322C9F"/>
    <w:rsid w:val="00322FAD"/>
    <w:rsid w:val="00324D23"/>
    <w:rsid w:val="003275B3"/>
    <w:rsid w:val="00330666"/>
    <w:rsid w:val="00331751"/>
    <w:rsid w:val="00334579"/>
    <w:rsid w:val="00334AF2"/>
    <w:rsid w:val="00335858"/>
    <w:rsid w:val="00336BDA"/>
    <w:rsid w:val="00336DAC"/>
    <w:rsid w:val="00342BD7"/>
    <w:rsid w:val="00343A07"/>
    <w:rsid w:val="00344180"/>
    <w:rsid w:val="0034475E"/>
    <w:rsid w:val="00346DB5"/>
    <w:rsid w:val="00347296"/>
    <w:rsid w:val="003472A2"/>
    <w:rsid w:val="003474C0"/>
    <w:rsid w:val="003477B1"/>
    <w:rsid w:val="00347EB7"/>
    <w:rsid w:val="00350DD4"/>
    <w:rsid w:val="0035482C"/>
    <w:rsid w:val="00357380"/>
    <w:rsid w:val="003602D9"/>
    <w:rsid w:val="003604CE"/>
    <w:rsid w:val="0036137D"/>
    <w:rsid w:val="00370E47"/>
    <w:rsid w:val="003742AC"/>
    <w:rsid w:val="00377CE1"/>
    <w:rsid w:val="003806FB"/>
    <w:rsid w:val="00385BF0"/>
    <w:rsid w:val="003922FE"/>
    <w:rsid w:val="00393601"/>
    <w:rsid w:val="003939FF"/>
    <w:rsid w:val="003968E2"/>
    <w:rsid w:val="00396DEE"/>
    <w:rsid w:val="003A2223"/>
    <w:rsid w:val="003A2A0F"/>
    <w:rsid w:val="003A45A1"/>
    <w:rsid w:val="003A5B0A"/>
    <w:rsid w:val="003A6BAC"/>
    <w:rsid w:val="003A7EF3"/>
    <w:rsid w:val="003B159C"/>
    <w:rsid w:val="003B2774"/>
    <w:rsid w:val="003B369F"/>
    <w:rsid w:val="003B36A3"/>
    <w:rsid w:val="003B61AE"/>
    <w:rsid w:val="003B7FE5"/>
    <w:rsid w:val="003C11C8"/>
    <w:rsid w:val="003C2702"/>
    <w:rsid w:val="003C306E"/>
    <w:rsid w:val="003C7806"/>
    <w:rsid w:val="003D109F"/>
    <w:rsid w:val="003D2477"/>
    <w:rsid w:val="003D2478"/>
    <w:rsid w:val="003D2FC4"/>
    <w:rsid w:val="003D3C45"/>
    <w:rsid w:val="003D5B1F"/>
    <w:rsid w:val="003E15FA"/>
    <w:rsid w:val="003E55E4"/>
    <w:rsid w:val="003E5EB4"/>
    <w:rsid w:val="003E74E3"/>
    <w:rsid w:val="003E7B80"/>
    <w:rsid w:val="003F01DB"/>
    <w:rsid w:val="003F05C7"/>
    <w:rsid w:val="003F0729"/>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7B4"/>
    <w:rsid w:val="00444F56"/>
    <w:rsid w:val="00446488"/>
    <w:rsid w:val="004517AA"/>
    <w:rsid w:val="00452CAC"/>
    <w:rsid w:val="00455AD1"/>
    <w:rsid w:val="00457565"/>
    <w:rsid w:val="00457B71"/>
    <w:rsid w:val="004603F5"/>
    <w:rsid w:val="00464590"/>
    <w:rsid w:val="00464A93"/>
    <w:rsid w:val="00465F3A"/>
    <w:rsid w:val="004669E2"/>
    <w:rsid w:val="00470C31"/>
    <w:rsid w:val="004734D0"/>
    <w:rsid w:val="0047556B"/>
    <w:rsid w:val="00477768"/>
    <w:rsid w:val="00486A6A"/>
    <w:rsid w:val="0048713F"/>
    <w:rsid w:val="00492BC5"/>
    <w:rsid w:val="004964F1"/>
    <w:rsid w:val="00496567"/>
    <w:rsid w:val="004A0199"/>
    <w:rsid w:val="004A07A0"/>
    <w:rsid w:val="004A16BC"/>
    <w:rsid w:val="004A2B94"/>
    <w:rsid w:val="004A3AB6"/>
    <w:rsid w:val="004A4FEE"/>
    <w:rsid w:val="004A59B3"/>
    <w:rsid w:val="004A7571"/>
    <w:rsid w:val="004B7C0C"/>
    <w:rsid w:val="004C1B75"/>
    <w:rsid w:val="004C2F28"/>
    <w:rsid w:val="004C3898"/>
    <w:rsid w:val="004D36B1"/>
    <w:rsid w:val="004D6406"/>
    <w:rsid w:val="004D6747"/>
    <w:rsid w:val="004D7530"/>
    <w:rsid w:val="004D7EBD"/>
    <w:rsid w:val="004E0230"/>
    <w:rsid w:val="004E2680"/>
    <w:rsid w:val="004E28F9"/>
    <w:rsid w:val="004E3B4D"/>
    <w:rsid w:val="004E462E"/>
    <w:rsid w:val="004E56DC"/>
    <w:rsid w:val="004E76F4"/>
    <w:rsid w:val="004E7C3F"/>
    <w:rsid w:val="004F035A"/>
    <w:rsid w:val="004F0B4E"/>
    <w:rsid w:val="004F0B6C"/>
    <w:rsid w:val="004F2078"/>
    <w:rsid w:val="004F4DA3"/>
    <w:rsid w:val="004F5F8E"/>
    <w:rsid w:val="004F62A7"/>
    <w:rsid w:val="005032AF"/>
    <w:rsid w:val="00506557"/>
    <w:rsid w:val="0050677A"/>
    <w:rsid w:val="005067CF"/>
    <w:rsid w:val="005108D8"/>
    <w:rsid w:val="005116F9"/>
    <w:rsid w:val="00514F48"/>
    <w:rsid w:val="005153A7"/>
    <w:rsid w:val="005219CF"/>
    <w:rsid w:val="00523EA0"/>
    <w:rsid w:val="0052428F"/>
    <w:rsid w:val="00524C92"/>
    <w:rsid w:val="00532E98"/>
    <w:rsid w:val="00534B59"/>
    <w:rsid w:val="00536759"/>
    <w:rsid w:val="00537C62"/>
    <w:rsid w:val="00546970"/>
    <w:rsid w:val="00551BA0"/>
    <w:rsid w:val="005541C5"/>
    <w:rsid w:val="00554E19"/>
    <w:rsid w:val="00555A77"/>
    <w:rsid w:val="0056121F"/>
    <w:rsid w:val="00562D43"/>
    <w:rsid w:val="005653C9"/>
    <w:rsid w:val="0056642E"/>
    <w:rsid w:val="00572505"/>
    <w:rsid w:val="00581993"/>
    <w:rsid w:val="00582229"/>
    <w:rsid w:val="00582809"/>
    <w:rsid w:val="0058318F"/>
    <w:rsid w:val="005843F7"/>
    <w:rsid w:val="005848FA"/>
    <w:rsid w:val="005851DB"/>
    <w:rsid w:val="0058798C"/>
    <w:rsid w:val="005900FA"/>
    <w:rsid w:val="00591266"/>
    <w:rsid w:val="00593224"/>
    <w:rsid w:val="005935A4"/>
    <w:rsid w:val="005948C2"/>
    <w:rsid w:val="00595DCA"/>
    <w:rsid w:val="00596718"/>
    <w:rsid w:val="0059779B"/>
    <w:rsid w:val="005A209A"/>
    <w:rsid w:val="005A5D9C"/>
    <w:rsid w:val="005A662D"/>
    <w:rsid w:val="005B0BBE"/>
    <w:rsid w:val="005B1642"/>
    <w:rsid w:val="005B35D7"/>
    <w:rsid w:val="005B392A"/>
    <w:rsid w:val="005B3AA3"/>
    <w:rsid w:val="005B539B"/>
    <w:rsid w:val="005B6F83"/>
    <w:rsid w:val="005C0333"/>
    <w:rsid w:val="005C1BA7"/>
    <w:rsid w:val="005C74FB"/>
    <w:rsid w:val="005D1602"/>
    <w:rsid w:val="005D5B80"/>
    <w:rsid w:val="005D641B"/>
    <w:rsid w:val="005E2BAF"/>
    <w:rsid w:val="005E34A4"/>
    <w:rsid w:val="005E385F"/>
    <w:rsid w:val="005E5B81"/>
    <w:rsid w:val="005E5CE7"/>
    <w:rsid w:val="005F2CB1"/>
    <w:rsid w:val="005F3025"/>
    <w:rsid w:val="005F618C"/>
    <w:rsid w:val="005F70BD"/>
    <w:rsid w:val="0060283C"/>
    <w:rsid w:val="0060316E"/>
    <w:rsid w:val="0060472A"/>
    <w:rsid w:val="00604D02"/>
    <w:rsid w:val="00604F14"/>
    <w:rsid w:val="00605F62"/>
    <w:rsid w:val="006063FA"/>
    <w:rsid w:val="00611B83"/>
    <w:rsid w:val="00613257"/>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5DC0"/>
    <w:rsid w:val="0064624E"/>
    <w:rsid w:val="00650AB9"/>
    <w:rsid w:val="00653868"/>
    <w:rsid w:val="00655466"/>
    <w:rsid w:val="00655733"/>
    <w:rsid w:val="00655ACD"/>
    <w:rsid w:val="00656A92"/>
    <w:rsid w:val="00656DDE"/>
    <w:rsid w:val="0066011D"/>
    <w:rsid w:val="006603C7"/>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6C8E"/>
    <w:rsid w:val="006771F9"/>
    <w:rsid w:val="006776D7"/>
    <w:rsid w:val="00677BC1"/>
    <w:rsid w:val="006805C7"/>
    <w:rsid w:val="00681003"/>
    <w:rsid w:val="006817C9"/>
    <w:rsid w:val="00683177"/>
    <w:rsid w:val="00683ECE"/>
    <w:rsid w:val="0069296E"/>
    <w:rsid w:val="00695FC2"/>
    <w:rsid w:val="00696949"/>
    <w:rsid w:val="00697052"/>
    <w:rsid w:val="006A197C"/>
    <w:rsid w:val="006A2EBB"/>
    <w:rsid w:val="006A46FB"/>
    <w:rsid w:val="006A4A76"/>
    <w:rsid w:val="006A5E28"/>
    <w:rsid w:val="006A697B"/>
    <w:rsid w:val="006A7AFF"/>
    <w:rsid w:val="006B1816"/>
    <w:rsid w:val="006B2099"/>
    <w:rsid w:val="006B3FC4"/>
    <w:rsid w:val="006B43B3"/>
    <w:rsid w:val="006B50CF"/>
    <w:rsid w:val="006C03B8"/>
    <w:rsid w:val="006C116D"/>
    <w:rsid w:val="006C45F4"/>
    <w:rsid w:val="006C5EC9"/>
    <w:rsid w:val="006C6059"/>
    <w:rsid w:val="006C7522"/>
    <w:rsid w:val="006D169B"/>
    <w:rsid w:val="006D6F08"/>
    <w:rsid w:val="006E062C"/>
    <w:rsid w:val="006E0C1A"/>
    <w:rsid w:val="006E28B7"/>
    <w:rsid w:val="006E3310"/>
    <w:rsid w:val="006E4E39"/>
    <w:rsid w:val="006E565E"/>
    <w:rsid w:val="006E673D"/>
    <w:rsid w:val="006E7D3B"/>
    <w:rsid w:val="006F1B70"/>
    <w:rsid w:val="006F341D"/>
    <w:rsid w:val="006F3CDE"/>
    <w:rsid w:val="006F58D4"/>
    <w:rsid w:val="006F7ABC"/>
    <w:rsid w:val="0070346E"/>
    <w:rsid w:val="00704072"/>
    <w:rsid w:val="007041E2"/>
    <w:rsid w:val="00704EDB"/>
    <w:rsid w:val="007050F8"/>
    <w:rsid w:val="0070537F"/>
    <w:rsid w:val="00706101"/>
    <w:rsid w:val="00707072"/>
    <w:rsid w:val="00707D61"/>
    <w:rsid w:val="00711C83"/>
    <w:rsid w:val="00712287"/>
    <w:rsid w:val="00712772"/>
    <w:rsid w:val="007148D3"/>
    <w:rsid w:val="00715B9A"/>
    <w:rsid w:val="00715DF1"/>
    <w:rsid w:val="0071651B"/>
    <w:rsid w:val="00721593"/>
    <w:rsid w:val="0072595C"/>
    <w:rsid w:val="00726E43"/>
    <w:rsid w:val="00726EA6"/>
    <w:rsid w:val="00727208"/>
    <w:rsid w:val="00727680"/>
    <w:rsid w:val="00727F0A"/>
    <w:rsid w:val="00727F9E"/>
    <w:rsid w:val="00730A1E"/>
    <w:rsid w:val="00732DB0"/>
    <w:rsid w:val="007348B1"/>
    <w:rsid w:val="00734968"/>
    <w:rsid w:val="00734B23"/>
    <w:rsid w:val="007362A6"/>
    <w:rsid w:val="00736D7D"/>
    <w:rsid w:val="00737922"/>
    <w:rsid w:val="00740DAD"/>
    <w:rsid w:val="00740E58"/>
    <w:rsid w:val="007445A0"/>
    <w:rsid w:val="0074524B"/>
    <w:rsid w:val="00747D8B"/>
    <w:rsid w:val="00751228"/>
    <w:rsid w:val="00751613"/>
    <w:rsid w:val="0075220D"/>
    <w:rsid w:val="00755CB6"/>
    <w:rsid w:val="007571E1"/>
    <w:rsid w:val="007604B2"/>
    <w:rsid w:val="00765281"/>
    <w:rsid w:val="007669C9"/>
    <w:rsid w:val="00766BAD"/>
    <w:rsid w:val="007730BD"/>
    <w:rsid w:val="00774005"/>
    <w:rsid w:val="007755F2"/>
    <w:rsid w:val="00776971"/>
    <w:rsid w:val="0078177E"/>
    <w:rsid w:val="0078304C"/>
    <w:rsid w:val="00783324"/>
    <w:rsid w:val="00783673"/>
    <w:rsid w:val="00785490"/>
    <w:rsid w:val="0078648D"/>
    <w:rsid w:val="007874C9"/>
    <w:rsid w:val="00787795"/>
    <w:rsid w:val="00787E82"/>
    <w:rsid w:val="007925EA"/>
    <w:rsid w:val="00793CD8"/>
    <w:rsid w:val="00795C38"/>
    <w:rsid w:val="00795C92"/>
    <w:rsid w:val="00796231"/>
    <w:rsid w:val="007A1CB3"/>
    <w:rsid w:val="007A306F"/>
    <w:rsid w:val="007A43A6"/>
    <w:rsid w:val="007A58A6"/>
    <w:rsid w:val="007A737E"/>
    <w:rsid w:val="007B3D2D"/>
    <w:rsid w:val="007B3DC7"/>
    <w:rsid w:val="007B50AE"/>
    <w:rsid w:val="007B51DF"/>
    <w:rsid w:val="007B5600"/>
    <w:rsid w:val="007B5EB3"/>
    <w:rsid w:val="007B7232"/>
    <w:rsid w:val="007C05DD"/>
    <w:rsid w:val="007C3D18"/>
    <w:rsid w:val="007C60BF"/>
    <w:rsid w:val="007C6A07"/>
    <w:rsid w:val="007C73D5"/>
    <w:rsid w:val="007C75A1"/>
    <w:rsid w:val="007C77A5"/>
    <w:rsid w:val="007D04E5"/>
    <w:rsid w:val="007D5901"/>
    <w:rsid w:val="007D7526"/>
    <w:rsid w:val="007E0C56"/>
    <w:rsid w:val="007E0F30"/>
    <w:rsid w:val="007E1D21"/>
    <w:rsid w:val="007E4610"/>
    <w:rsid w:val="007E4715"/>
    <w:rsid w:val="007E505B"/>
    <w:rsid w:val="007E7091"/>
    <w:rsid w:val="007F11E2"/>
    <w:rsid w:val="007F3049"/>
    <w:rsid w:val="007F66CC"/>
    <w:rsid w:val="00801CC7"/>
    <w:rsid w:val="00803FAE"/>
    <w:rsid w:val="0080605F"/>
    <w:rsid w:val="00807786"/>
    <w:rsid w:val="00811FCB"/>
    <w:rsid w:val="008158D6"/>
    <w:rsid w:val="00816038"/>
    <w:rsid w:val="00817196"/>
    <w:rsid w:val="008200A7"/>
    <w:rsid w:val="00821A13"/>
    <w:rsid w:val="008235DB"/>
    <w:rsid w:val="00824AB4"/>
    <w:rsid w:val="008251EB"/>
    <w:rsid w:val="00825C42"/>
    <w:rsid w:val="00825D25"/>
    <w:rsid w:val="00827D6F"/>
    <w:rsid w:val="008376AC"/>
    <w:rsid w:val="0084123F"/>
    <w:rsid w:val="008444E8"/>
    <w:rsid w:val="00844E80"/>
    <w:rsid w:val="00846FE7"/>
    <w:rsid w:val="00850CEC"/>
    <w:rsid w:val="00854C3D"/>
    <w:rsid w:val="00856911"/>
    <w:rsid w:val="008677FD"/>
    <w:rsid w:val="008706D4"/>
    <w:rsid w:val="00870F8A"/>
    <w:rsid w:val="008719A4"/>
    <w:rsid w:val="00871D23"/>
    <w:rsid w:val="00874312"/>
    <w:rsid w:val="0087437C"/>
    <w:rsid w:val="00875CD7"/>
    <w:rsid w:val="00876B4D"/>
    <w:rsid w:val="00877F18"/>
    <w:rsid w:val="00880344"/>
    <w:rsid w:val="00894A88"/>
    <w:rsid w:val="00895386"/>
    <w:rsid w:val="008A21FF"/>
    <w:rsid w:val="008A2CE2"/>
    <w:rsid w:val="008A30AC"/>
    <w:rsid w:val="008A44B8"/>
    <w:rsid w:val="008A51A8"/>
    <w:rsid w:val="008A54C7"/>
    <w:rsid w:val="008A6493"/>
    <w:rsid w:val="008A77D8"/>
    <w:rsid w:val="008B0483"/>
    <w:rsid w:val="008B120C"/>
    <w:rsid w:val="008B5104"/>
    <w:rsid w:val="008B51A0"/>
    <w:rsid w:val="008B592A"/>
    <w:rsid w:val="008B7B5C"/>
    <w:rsid w:val="008C0C99"/>
    <w:rsid w:val="008C2017"/>
    <w:rsid w:val="008C32D0"/>
    <w:rsid w:val="008C394C"/>
    <w:rsid w:val="008C44B7"/>
    <w:rsid w:val="008C4533"/>
    <w:rsid w:val="008C4958"/>
    <w:rsid w:val="008C4BAA"/>
    <w:rsid w:val="008C6AE8"/>
    <w:rsid w:val="008C7573"/>
    <w:rsid w:val="008D34F1"/>
    <w:rsid w:val="008D39D8"/>
    <w:rsid w:val="008D5557"/>
    <w:rsid w:val="008D6D1A"/>
    <w:rsid w:val="008E065E"/>
    <w:rsid w:val="008E0927"/>
    <w:rsid w:val="008E110A"/>
    <w:rsid w:val="008E1909"/>
    <w:rsid w:val="008E1A58"/>
    <w:rsid w:val="008E23DE"/>
    <w:rsid w:val="008E3313"/>
    <w:rsid w:val="008E6846"/>
    <w:rsid w:val="008F0AE4"/>
    <w:rsid w:val="008F169D"/>
    <w:rsid w:val="008F1EAB"/>
    <w:rsid w:val="008F2C6B"/>
    <w:rsid w:val="008F33DC"/>
    <w:rsid w:val="008F477F"/>
    <w:rsid w:val="00902350"/>
    <w:rsid w:val="0090336B"/>
    <w:rsid w:val="00903AF6"/>
    <w:rsid w:val="0090435B"/>
    <w:rsid w:val="009053AA"/>
    <w:rsid w:val="00905EB9"/>
    <w:rsid w:val="0090659A"/>
    <w:rsid w:val="00906939"/>
    <w:rsid w:val="00910B7D"/>
    <w:rsid w:val="00911DFB"/>
    <w:rsid w:val="009139D9"/>
    <w:rsid w:val="00914AD8"/>
    <w:rsid w:val="00916079"/>
    <w:rsid w:val="00917CE9"/>
    <w:rsid w:val="0092093E"/>
    <w:rsid w:val="00920BF2"/>
    <w:rsid w:val="00921DD2"/>
    <w:rsid w:val="00922010"/>
    <w:rsid w:val="00927BC5"/>
    <w:rsid w:val="009302A0"/>
    <w:rsid w:val="00931BD9"/>
    <w:rsid w:val="0093322C"/>
    <w:rsid w:val="009368F3"/>
    <w:rsid w:val="00941636"/>
    <w:rsid w:val="00943742"/>
    <w:rsid w:val="00945C05"/>
    <w:rsid w:val="00946945"/>
    <w:rsid w:val="00947713"/>
    <w:rsid w:val="00950406"/>
    <w:rsid w:val="00950DE7"/>
    <w:rsid w:val="00953920"/>
    <w:rsid w:val="00953D47"/>
    <w:rsid w:val="0095681E"/>
    <w:rsid w:val="009572D4"/>
    <w:rsid w:val="00961921"/>
    <w:rsid w:val="00961B10"/>
    <w:rsid w:val="0096430A"/>
    <w:rsid w:val="00965062"/>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1EE9"/>
    <w:rsid w:val="00992A95"/>
    <w:rsid w:val="00992D40"/>
    <w:rsid w:val="009932C8"/>
    <w:rsid w:val="00994DCA"/>
    <w:rsid w:val="009960EC"/>
    <w:rsid w:val="009970DD"/>
    <w:rsid w:val="009A024F"/>
    <w:rsid w:val="009A0FBA"/>
    <w:rsid w:val="009A1601"/>
    <w:rsid w:val="009A2C02"/>
    <w:rsid w:val="009A462D"/>
    <w:rsid w:val="009A5CBA"/>
    <w:rsid w:val="009A7536"/>
    <w:rsid w:val="009A79F8"/>
    <w:rsid w:val="009B1F30"/>
    <w:rsid w:val="009B32D7"/>
    <w:rsid w:val="009B3AC2"/>
    <w:rsid w:val="009B4DF4"/>
    <w:rsid w:val="009B564E"/>
    <w:rsid w:val="009B7E87"/>
    <w:rsid w:val="009C1981"/>
    <w:rsid w:val="009C2637"/>
    <w:rsid w:val="009C403E"/>
    <w:rsid w:val="009C559F"/>
    <w:rsid w:val="009C5962"/>
    <w:rsid w:val="009C72D5"/>
    <w:rsid w:val="009D1FE8"/>
    <w:rsid w:val="009D3333"/>
    <w:rsid w:val="009D4FF0"/>
    <w:rsid w:val="009D5350"/>
    <w:rsid w:val="009D703C"/>
    <w:rsid w:val="009D718F"/>
    <w:rsid w:val="009E068F"/>
    <w:rsid w:val="009E14E0"/>
    <w:rsid w:val="009E35DB"/>
    <w:rsid w:val="009E45D3"/>
    <w:rsid w:val="009E47A3"/>
    <w:rsid w:val="009F08F3"/>
    <w:rsid w:val="009F1A4E"/>
    <w:rsid w:val="009F344F"/>
    <w:rsid w:val="009F7E79"/>
    <w:rsid w:val="00A00796"/>
    <w:rsid w:val="00A048A8"/>
    <w:rsid w:val="00A04F49"/>
    <w:rsid w:val="00A078FE"/>
    <w:rsid w:val="00A10C9F"/>
    <w:rsid w:val="00A13E54"/>
    <w:rsid w:val="00A1413E"/>
    <w:rsid w:val="00A17F63"/>
    <w:rsid w:val="00A2193B"/>
    <w:rsid w:val="00A2351A"/>
    <w:rsid w:val="00A264A9"/>
    <w:rsid w:val="00A26831"/>
    <w:rsid w:val="00A27785"/>
    <w:rsid w:val="00A30187"/>
    <w:rsid w:val="00A3448A"/>
    <w:rsid w:val="00A34CCD"/>
    <w:rsid w:val="00A360AE"/>
    <w:rsid w:val="00A36297"/>
    <w:rsid w:val="00A41E2B"/>
    <w:rsid w:val="00A446F9"/>
    <w:rsid w:val="00A45B74"/>
    <w:rsid w:val="00A464F5"/>
    <w:rsid w:val="00A52E1D"/>
    <w:rsid w:val="00A61499"/>
    <w:rsid w:val="00A62A77"/>
    <w:rsid w:val="00A63483"/>
    <w:rsid w:val="00A63D6A"/>
    <w:rsid w:val="00A651EC"/>
    <w:rsid w:val="00A657D7"/>
    <w:rsid w:val="00A660AC"/>
    <w:rsid w:val="00A66C51"/>
    <w:rsid w:val="00A67E6C"/>
    <w:rsid w:val="00A71B99"/>
    <w:rsid w:val="00A739D0"/>
    <w:rsid w:val="00A761D4"/>
    <w:rsid w:val="00A77EC4"/>
    <w:rsid w:val="00A81D38"/>
    <w:rsid w:val="00A91E1D"/>
    <w:rsid w:val="00A92879"/>
    <w:rsid w:val="00A9442A"/>
    <w:rsid w:val="00A97DC0"/>
    <w:rsid w:val="00AA016F"/>
    <w:rsid w:val="00AA1ED6"/>
    <w:rsid w:val="00AA51D6"/>
    <w:rsid w:val="00AA7174"/>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B29"/>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1C"/>
    <w:rsid w:val="00B06CB4"/>
    <w:rsid w:val="00B13A6C"/>
    <w:rsid w:val="00B157F9"/>
    <w:rsid w:val="00B167F1"/>
    <w:rsid w:val="00B20256"/>
    <w:rsid w:val="00B20D09"/>
    <w:rsid w:val="00B243A5"/>
    <w:rsid w:val="00B250A3"/>
    <w:rsid w:val="00B2763F"/>
    <w:rsid w:val="00B27AAC"/>
    <w:rsid w:val="00B30929"/>
    <w:rsid w:val="00B3301E"/>
    <w:rsid w:val="00B336C6"/>
    <w:rsid w:val="00B372AA"/>
    <w:rsid w:val="00B40445"/>
    <w:rsid w:val="00B41888"/>
    <w:rsid w:val="00B44014"/>
    <w:rsid w:val="00B45A17"/>
    <w:rsid w:val="00B45A52"/>
    <w:rsid w:val="00B46175"/>
    <w:rsid w:val="00B462CE"/>
    <w:rsid w:val="00B46E9B"/>
    <w:rsid w:val="00B55BCD"/>
    <w:rsid w:val="00B62AAA"/>
    <w:rsid w:val="00B664C7"/>
    <w:rsid w:val="00B66689"/>
    <w:rsid w:val="00B70DAF"/>
    <w:rsid w:val="00B739F6"/>
    <w:rsid w:val="00B7792C"/>
    <w:rsid w:val="00B81A6C"/>
    <w:rsid w:val="00B82A5C"/>
    <w:rsid w:val="00B8538C"/>
    <w:rsid w:val="00B85DE5"/>
    <w:rsid w:val="00B90F73"/>
    <w:rsid w:val="00B93B59"/>
    <w:rsid w:val="00B9406A"/>
    <w:rsid w:val="00B97149"/>
    <w:rsid w:val="00BA2280"/>
    <w:rsid w:val="00BA2A08"/>
    <w:rsid w:val="00BA56D2"/>
    <w:rsid w:val="00BA76E0"/>
    <w:rsid w:val="00BB2A25"/>
    <w:rsid w:val="00BB362F"/>
    <w:rsid w:val="00BB51E9"/>
    <w:rsid w:val="00BB7EA9"/>
    <w:rsid w:val="00BC0FDC"/>
    <w:rsid w:val="00BC3053"/>
    <w:rsid w:val="00BC4D2E"/>
    <w:rsid w:val="00BC6218"/>
    <w:rsid w:val="00BC73E3"/>
    <w:rsid w:val="00BD0701"/>
    <w:rsid w:val="00BD48AC"/>
    <w:rsid w:val="00BD4AB5"/>
    <w:rsid w:val="00BD5F1A"/>
    <w:rsid w:val="00BD6748"/>
    <w:rsid w:val="00BE1234"/>
    <w:rsid w:val="00BE2FA6"/>
    <w:rsid w:val="00BE333F"/>
    <w:rsid w:val="00BE54A5"/>
    <w:rsid w:val="00BE7406"/>
    <w:rsid w:val="00BE7603"/>
    <w:rsid w:val="00BF3279"/>
    <w:rsid w:val="00BF4DD6"/>
    <w:rsid w:val="00BF5E0E"/>
    <w:rsid w:val="00BF6BFD"/>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1DA"/>
    <w:rsid w:val="00C21BE3"/>
    <w:rsid w:val="00C279B5"/>
    <w:rsid w:val="00C27C45"/>
    <w:rsid w:val="00C31964"/>
    <w:rsid w:val="00C34FE8"/>
    <w:rsid w:val="00C3719D"/>
    <w:rsid w:val="00C4407D"/>
    <w:rsid w:val="00C47092"/>
    <w:rsid w:val="00C527A8"/>
    <w:rsid w:val="00C5450B"/>
    <w:rsid w:val="00C54995"/>
    <w:rsid w:val="00C54D41"/>
    <w:rsid w:val="00C60783"/>
    <w:rsid w:val="00C64672"/>
    <w:rsid w:val="00C70697"/>
    <w:rsid w:val="00C715D4"/>
    <w:rsid w:val="00C725B2"/>
    <w:rsid w:val="00C72EF4"/>
    <w:rsid w:val="00C75D2F"/>
    <w:rsid w:val="00C761CF"/>
    <w:rsid w:val="00C767BE"/>
    <w:rsid w:val="00C76963"/>
    <w:rsid w:val="00C76E3C"/>
    <w:rsid w:val="00C76E50"/>
    <w:rsid w:val="00C81568"/>
    <w:rsid w:val="00C900BA"/>
    <w:rsid w:val="00C90138"/>
    <w:rsid w:val="00C9027A"/>
    <w:rsid w:val="00C9068E"/>
    <w:rsid w:val="00C93C4B"/>
    <w:rsid w:val="00C944AB"/>
    <w:rsid w:val="00C94778"/>
    <w:rsid w:val="00C9566F"/>
    <w:rsid w:val="00C95822"/>
    <w:rsid w:val="00C95B40"/>
    <w:rsid w:val="00CA1ED8"/>
    <w:rsid w:val="00CA2CAB"/>
    <w:rsid w:val="00CA3F64"/>
    <w:rsid w:val="00CB1F1F"/>
    <w:rsid w:val="00CB1F63"/>
    <w:rsid w:val="00CB337C"/>
    <w:rsid w:val="00CB6DA1"/>
    <w:rsid w:val="00CB7170"/>
    <w:rsid w:val="00CC040E"/>
    <w:rsid w:val="00CC111F"/>
    <w:rsid w:val="00CC2011"/>
    <w:rsid w:val="00CC3EA0"/>
    <w:rsid w:val="00CC3ED4"/>
    <w:rsid w:val="00CC7B45"/>
    <w:rsid w:val="00CD1188"/>
    <w:rsid w:val="00CD1808"/>
    <w:rsid w:val="00CD2ED1"/>
    <w:rsid w:val="00CD337B"/>
    <w:rsid w:val="00CE0424"/>
    <w:rsid w:val="00CE6868"/>
    <w:rsid w:val="00CE7561"/>
    <w:rsid w:val="00CF1354"/>
    <w:rsid w:val="00CF3B1F"/>
    <w:rsid w:val="00CF3BF6"/>
    <w:rsid w:val="00CF625B"/>
    <w:rsid w:val="00CF687E"/>
    <w:rsid w:val="00D0349B"/>
    <w:rsid w:val="00D04434"/>
    <w:rsid w:val="00D04FDB"/>
    <w:rsid w:val="00D10249"/>
    <w:rsid w:val="00D115C3"/>
    <w:rsid w:val="00D11897"/>
    <w:rsid w:val="00D130C0"/>
    <w:rsid w:val="00D13135"/>
    <w:rsid w:val="00D13E4E"/>
    <w:rsid w:val="00D210A6"/>
    <w:rsid w:val="00D2214C"/>
    <w:rsid w:val="00D228AC"/>
    <w:rsid w:val="00D239A7"/>
    <w:rsid w:val="00D23F47"/>
    <w:rsid w:val="00D3005B"/>
    <w:rsid w:val="00D31875"/>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765"/>
    <w:rsid w:val="00D61AF5"/>
    <w:rsid w:val="00D62CD5"/>
    <w:rsid w:val="00D6435F"/>
    <w:rsid w:val="00D652B5"/>
    <w:rsid w:val="00D66155"/>
    <w:rsid w:val="00D708B0"/>
    <w:rsid w:val="00D70A13"/>
    <w:rsid w:val="00D7476F"/>
    <w:rsid w:val="00D75C8E"/>
    <w:rsid w:val="00D76EC8"/>
    <w:rsid w:val="00D77B1D"/>
    <w:rsid w:val="00D8021F"/>
    <w:rsid w:val="00D80383"/>
    <w:rsid w:val="00D80D4F"/>
    <w:rsid w:val="00D822EA"/>
    <w:rsid w:val="00D823C6"/>
    <w:rsid w:val="00D82CB4"/>
    <w:rsid w:val="00D84D28"/>
    <w:rsid w:val="00D86202"/>
    <w:rsid w:val="00D86CA3"/>
    <w:rsid w:val="00D871CE"/>
    <w:rsid w:val="00D8743C"/>
    <w:rsid w:val="00D9196D"/>
    <w:rsid w:val="00D92225"/>
    <w:rsid w:val="00D9231F"/>
    <w:rsid w:val="00D92982"/>
    <w:rsid w:val="00D95657"/>
    <w:rsid w:val="00D96E57"/>
    <w:rsid w:val="00DA305E"/>
    <w:rsid w:val="00DA32BE"/>
    <w:rsid w:val="00DA49B7"/>
    <w:rsid w:val="00DA5007"/>
    <w:rsid w:val="00DA5417"/>
    <w:rsid w:val="00DA56E8"/>
    <w:rsid w:val="00DA68D5"/>
    <w:rsid w:val="00DB09F6"/>
    <w:rsid w:val="00DB0A9F"/>
    <w:rsid w:val="00DB2A5F"/>
    <w:rsid w:val="00DB377D"/>
    <w:rsid w:val="00DB3E5C"/>
    <w:rsid w:val="00DC1290"/>
    <w:rsid w:val="00DC2D36"/>
    <w:rsid w:val="00DC4945"/>
    <w:rsid w:val="00DC4F42"/>
    <w:rsid w:val="00DC53EF"/>
    <w:rsid w:val="00DC5E33"/>
    <w:rsid w:val="00DC7923"/>
    <w:rsid w:val="00DD39D5"/>
    <w:rsid w:val="00DD739C"/>
    <w:rsid w:val="00DE18FE"/>
    <w:rsid w:val="00DE1D2A"/>
    <w:rsid w:val="00DE4478"/>
    <w:rsid w:val="00DE5608"/>
    <w:rsid w:val="00DE58D0"/>
    <w:rsid w:val="00DE654F"/>
    <w:rsid w:val="00DF0B6E"/>
    <w:rsid w:val="00DF15E0"/>
    <w:rsid w:val="00DF37A0"/>
    <w:rsid w:val="00DF7FBA"/>
    <w:rsid w:val="00E043C4"/>
    <w:rsid w:val="00E110E7"/>
    <w:rsid w:val="00E11B20"/>
    <w:rsid w:val="00E11CC0"/>
    <w:rsid w:val="00E17FA2"/>
    <w:rsid w:val="00E22330"/>
    <w:rsid w:val="00E30B5A"/>
    <w:rsid w:val="00E3123D"/>
    <w:rsid w:val="00E31461"/>
    <w:rsid w:val="00E31CB0"/>
    <w:rsid w:val="00E31D43"/>
    <w:rsid w:val="00E32608"/>
    <w:rsid w:val="00E326AD"/>
    <w:rsid w:val="00E3309F"/>
    <w:rsid w:val="00E34188"/>
    <w:rsid w:val="00E345CD"/>
    <w:rsid w:val="00E34A3A"/>
    <w:rsid w:val="00E34B6E"/>
    <w:rsid w:val="00E35559"/>
    <w:rsid w:val="00E3723A"/>
    <w:rsid w:val="00E37860"/>
    <w:rsid w:val="00E413E2"/>
    <w:rsid w:val="00E43F4A"/>
    <w:rsid w:val="00E446F1"/>
    <w:rsid w:val="00E46886"/>
    <w:rsid w:val="00E476C8"/>
    <w:rsid w:val="00E47AEF"/>
    <w:rsid w:val="00E528F4"/>
    <w:rsid w:val="00E53B75"/>
    <w:rsid w:val="00E54E3B"/>
    <w:rsid w:val="00E57565"/>
    <w:rsid w:val="00E63838"/>
    <w:rsid w:val="00E64434"/>
    <w:rsid w:val="00E65C5C"/>
    <w:rsid w:val="00E66999"/>
    <w:rsid w:val="00E67C51"/>
    <w:rsid w:val="00E71775"/>
    <w:rsid w:val="00E72EFC"/>
    <w:rsid w:val="00E758EC"/>
    <w:rsid w:val="00E761F2"/>
    <w:rsid w:val="00E776CE"/>
    <w:rsid w:val="00E779DB"/>
    <w:rsid w:val="00E81189"/>
    <w:rsid w:val="00E8234C"/>
    <w:rsid w:val="00E83AA9"/>
    <w:rsid w:val="00E85928"/>
    <w:rsid w:val="00E85C29"/>
    <w:rsid w:val="00E87822"/>
    <w:rsid w:val="00E90395"/>
    <w:rsid w:val="00E90E49"/>
    <w:rsid w:val="00E9156A"/>
    <w:rsid w:val="00E917F9"/>
    <w:rsid w:val="00E9291C"/>
    <w:rsid w:val="00E932C8"/>
    <w:rsid w:val="00E93FFE"/>
    <w:rsid w:val="00E94F8A"/>
    <w:rsid w:val="00E95D65"/>
    <w:rsid w:val="00EA4D55"/>
    <w:rsid w:val="00EA6383"/>
    <w:rsid w:val="00EA7A41"/>
    <w:rsid w:val="00EA7ABD"/>
    <w:rsid w:val="00EB077B"/>
    <w:rsid w:val="00EB21D0"/>
    <w:rsid w:val="00EB4EA2"/>
    <w:rsid w:val="00EB55C9"/>
    <w:rsid w:val="00EB6D5D"/>
    <w:rsid w:val="00EB7951"/>
    <w:rsid w:val="00EC27C6"/>
    <w:rsid w:val="00EC409D"/>
    <w:rsid w:val="00EC4207"/>
    <w:rsid w:val="00EC5653"/>
    <w:rsid w:val="00EC60B5"/>
    <w:rsid w:val="00EC71CE"/>
    <w:rsid w:val="00ED0883"/>
    <w:rsid w:val="00ED1006"/>
    <w:rsid w:val="00ED3CA7"/>
    <w:rsid w:val="00ED605D"/>
    <w:rsid w:val="00EE5C1E"/>
    <w:rsid w:val="00EF18FE"/>
    <w:rsid w:val="00EF4B70"/>
    <w:rsid w:val="00EF5787"/>
    <w:rsid w:val="00EF60D0"/>
    <w:rsid w:val="00EF6966"/>
    <w:rsid w:val="00F01F36"/>
    <w:rsid w:val="00F0528D"/>
    <w:rsid w:val="00F06C67"/>
    <w:rsid w:val="00F06DFD"/>
    <w:rsid w:val="00F071D1"/>
    <w:rsid w:val="00F07533"/>
    <w:rsid w:val="00F079B0"/>
    <w:rsid w:val="00F10629"/>
    <w:rsid w:val="00F14BA7"/>
    <w:rsid w:val="00F158C9"/>
    <w:rsid w:val="00F15FA5"/>
    <w:rsid w:val="00F16643"/>
    <w:rsid w:val="00F209B7"/>
    <w:rsid w:val="00F20B0E"/>
    <w:rsid w:val="00F2376F"/>
    <w:rsid w:val="00F243D8"/>
    <w:rsid w:val="00F2637F"/>
    <w:rsid w:val="00F30828"/>
    <w:rsid w:val="00F313D6"/>
    <w:rsid w:val="00F358F0"/>
    <w:rsid w:val="00F40F0C"/>
    <w:rsid w:val="00F41D45"/>
    <w:rsid w:val="00F42D05"/>
    <w:rsid w:val="00F4766C"/>
    <w:rsid w:val="00F47BA3"/>
    <w:rsid w:val="00F507D1"/>
    <w:rsid w:val="00F519CE"/>
    <w:rsid w:val="00F51ADA"/>
    <w:rsid w:val="00F607C5"/>
    <w:rsid w:val="00F60DEA"/>
    <w:rsid w:val="00F61004"/>
    <w:rsid w:val="00F6302A"/>
    <w:rsid w:val="00F64C2B"/>
    <w:rsid w:val="00F651BE"/>
    <w:rsid w:val="00F67F53"/>
    <w:rsid w:val="00F703BE"/>
    <w:rsid w:val="00F71F69"/>
    <w:rsid w:val="00F72B72"/>
    <w:rsid w:val="00F74BB9"/>
    <w:rsid w:val="00F74D80"/>
    <w:rsid w:val="00F75582"/>
    <w:rsid w:val="00F75A7F"/>
    <w:rsid w:val="00F76EFA"/>
    <w:rsid w:val="00F804BE"/>
    <w:rsid w:val="00F8113C"/>
    <w:rsid w:val="00F817CE"/>
    <w:rsid w:val="00F82F4E"/>
    <w:rsid w:val="00F841C1"/>
    <w:rsid w:val="00F8425C"/>
    <w:rsid w:val="00F8456C"/>
    <w:rsid w:val="00F858AE"/>
    <w:rsid w:val="00F859D8"/>
    <w:rsid w:val="00F868F5"/>
    <w:rsid w:val="00F87D63"/>
    <w:rsid w:val="00F9056A"/>
    <w:rsid w:val="00F90F8D"/>
    <w:rsid w:val="00F92782"/>
    <w:rsid w:val="00F9351C"/>
    <w:rsid w:val="00F93AA9"/>
    <w:rsid w:val="00F96985"/>
    <w:rsid w:val="00F97838"/>
    <w:rsid w:val="00FA1C2E"/>
    <w:rsid w:val="00FA2BB3"/>
    <w:rsid w:val="00FA5164"/>
    <w:rsid w:val="00FA5E06"/>
    <w:rsid w:val="00FB4C80"/>
    <w:rsid w:val="00FB6A6A"/>
    <w:rsid w:val="00FC1AE8"/>
    <w:rsid w:val="00FC4AD0"/>
    <w:rsid w:val="00FC61CA"/>
    <w:rsid w:val="00FC7429"/>
    <w:rsid w:val="00FD07F6"/>
    <w:rsid w:val="00FD1EC8"/>
    <w:rsid w:val="00FD2685"/>
    <w:rsid w:val="00FD3FB3"/>
    <w:rsid w:val="00FD47ED"/>
    <w:rsid w:val="00FD74DB"/>
    <w:rsid w:val="00FD7660"/>
    <w:rsid w:val="00FE0655"/>
    <w:rsid w:val="00FE2365"/>
    <w:rsid w:val="00FE4C7B"/>
    <w:rsid w:val="00FE7336"/>
    <w:rsid w:val="00FE787C"/>
    <w:rsid w:val="00FF27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0F49F4E7-A064-4A9B-A660-8F10A683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tabs>
        <w:tab w:val="clear" w:pos="3636"/>
        <w:tab w:val="num" w:pos="576"/>
      </w:tabs>
      <w:spacing w:before="180"/>
      <w:ind w:left="576"/>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link w:val="CommentTextChar"/>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B10">
    <w:name w:val="B1 (文字)"/>
    <w:rsid w:val="00BC6218"/>
    <w:rPr>
      <w:lang w:val="en-GB" w:eastAsia="ja-JP" w:bidi="ar-SA"/>
    </w:rPr>
  </w:style>
  <w:style w:type="paragraph" w:customStyle="1" w:styleId="BodyBullet1">
    <w:name w:val="BodyBullet1"/>
    <w:basedOn w:val="BodyText"/>
    <w:qFormat/>
    <w:rsid w:val="00965062"/>
    <w:pPr>
      <w:keepLines/>
      <w:numPr>
        <w:numId w:val="45"/>
      </w:numPr>
      <w:tabs>
        <w:tab w:val="left" w:pos="2552"/>
        <w:tab w:val="left" w:pos="3856"/>
        <w:tab w:val="left" w:pos="5216"/>
        <w:tab w:val="left" w:pos="6464"/>
        <w:tab w:val="left" w:pos="7768"/>
        <w:tab w:val="left" w:pos="9072"/>
        <w:tab w:val="left" w:pos="10206"/>
      </w:tabs>
      <w:overflowPunct/>
      <w:autoSpaceDE/>
      <w:autoSpaceDN/>
      <w:adjustRightInd/>
      <w:spacing w:before="120" w:after="0"/>
      <w:ind w:left="2018" w:hanging="357"/>
      <w:contextualSpacing/>
      <w:jc w:val="left"/>
      <w:textAlignment w:val="auto"/>
    </w:pPr>
    <w:rPr>
      <w:lang w:val="en-US" w:eastAsia="en-US"/>
    </w:rPr>
  </w:style>
  <w:style w:type="paragraph" w:customStyle="1" w:styleId="BodyBullet2">
    <w:name w:val="BodyBullet2"/>
    <w:basedOn w:val="BodyBullet1"/>
    <w:qFormat/>
    <w:rsid w:val="00965062"/>
    <w:pPr>
      <w:numPr>
        <w:ilvl w:val="1"/>
      </w:numPr>
      <w:tabs>
        <w:tab w:val="clear" w:pos="2552"/>
      </w:tabs>
      <w:ind w:left="2738"/>
    </w:pPr>
  </w:style>
  <w:style w:type="paragraph" w:styleId="Revision">
    <w:name w:val="Revision"/>
    <w:hidden/>
    <w:uiPriority w:val="99"/>
    <w:semiHidden/>
    <w:rsid w:val="00816038"/>
    <w:rPr>
      <w:rFonts w:ascii="Arial" w:hAnsi="Arial"/>
      <w:lang w:val="en-GB" w:eastAsia="zh-CN"/>
    </w:rPr>
  </w:style>
  <w:style w:type="table" w:styleId="GridTable1Light-Accent1">
    <w:name w:val="Grid Table 1 Light Accent 1"/>
    <w:basedOn w:val="TableNormal"/>
    <w:uiPriority w:val="46"/>
    <w:rsid w:val="00A141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Grid">
    <w:name w:val="Table Grid"/>
    <w:basedOn w:val="TableNormal"/>
    <w:rsid w:val="003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F87D6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396">
      <w:bodyDiv w:val="1"/>
      <w:marLeft w:val="0"/>
      <w:marRight w:val="0"/>
      <w:marTop w:val="0"/>
      <w:marBottom w:val="0"/>
      <w:divBdr>
        <w:top w:val="none" w:sz="0" w:space="0" w:color="auto"/>
        <w:left w:val="none" w:sz="0" w:space="0" w:color="auto"/>
        <w:bottom w:val="none" w:sz="0" w:space="0" w:color="auto"/>
        <w:right w:val="none" w:sz="0" w:space="0" w:color="auto"/>
      </w:divBdr>
    </w:div>
    <w:div w:id="421493363">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138293">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608465526">
      <w:bodyDiv w:val="1"/>
      <w:marLeft w:val="0"/>
      <w:marRight w:val="0"/>
      <w:marTop w:val="0"/>
      <w:marBottom w:val="0"/>
      <w:divBdr>
        <w:top w:val="none" w:sz="0" w:space="0" w:color="auto"/>
        <w:left w:val="none" w:sz="0" w:space="0" w:color="auto"/>
        <w:bottom w:val="none" w:sz="0" w:space="0" w:color="auto"/>
        <w:right w:val="none" w:sz="0" w:space="0" w:color="auto"/>
      </w:divBdr>
    </w:div>
    <w:div w:id="21228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SAQRZK7RPU5V-1-15956</_dlc_DocId>
    <TaxCatchAll xmlns="08b2df90-05d3-4030-90d4-c9feeb4a1cd9">
      <Value>32</Value>
      <Value>31</Value>
      <Value>30</Value>
      <Value>2</Value>
      <Value>1</Value>
    </TaxCatchAll>
    <_dlc_DocIdUrl xmlns="08b2df90-05d3-4030-90d4-c9feeb4a1cd9">
      <Url>https://ericoll.internal.ericsson.com/sites/NSA/_layouts/DocIdRedir.aspx?ID=SAQRZK7RPU5V-1-15956</Url>
      <Description>SAQRZK7RPU5V-1-15956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BE611-08D0-484D-B3FC-952DBFA7D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13205-CE8D-4BE2-9906-DB6384DCEB78}">
  <ds:schemaRefs>
    <ds:schemaRef ds:uri="http://schemas.microsoft.com/office/infopath/2007/PartnerControls"/>
    <ds:schemaRef ds:uri="d46971d8-f4ed-4cac-a977-cede52d8d47b"/>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http://purl.org/dc/terms/"/>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60E1D5E-3F88-476E-A7AC-9A12A160D428}">
  <ds:schemaRefs>
    <ds:schemaRef ds:uri="http://schemas.microsoft.com/sharepoint/v3/contenttype/forms"/>
  </ds:schemaRefs>
</ds:datastoreItem>
</file>

<file path=customXml/itemProps4.xml><?xml version="1.0" encoding="utf-8"?>
<ds:datastoreItem xmlns:ds="http://schemas.openxmlformats.org/officeDocument/2006/customXml" ds:itemID="{601265F4-DA55-4BF6-8EEA-89382C2542B8}">
  <ds:schemaRefs>
    <ds:schemaRef ds:uri="http://schemas.microsoft.com/sharepoint/events"/>
  </ds:schemaRefs>
</ds:datastoreItem>
</file>

<file path=customXml/itemProps5.xml><?xml version="1.0" encoding="utf-8"?>
<ds:datastoreItem xmlns:ds="http://schemas.openxmlformats.org/officeDocument/2006/customXml" ds:itemID="{54FB66A8-FC68-4D5E-AEAB-DEC40975EDB3}">
  <ds:schemaRefs>
    <ds:schemaRef ds:uri="Microsoft.SharePoint.Taxonomy.ContentTypeSync"/>
  </ds:schemaRefs>
</ds:datastoreItem>
</file>

<file path=customXml/itemProps6.xml><?xml version="1.0" encoding="utf-8"?>
<ds:datastoreItem xmlns:ds="http://schemas.openxmlformats.org/officeDocument/2006/customXml" ds:itemID="{E75209DC-A570-4998-8010-C1C9449A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2</cp:revision>
  <cp:lastPrinted>2016-08-03T08:58:00Z</cp:lastPrinted>
  <dcterms:created xsi:type="dcterms:W3CDTF">2017-01-07T03:42:00Z</dcterms:created>
  <dcterms:modified xsi:type="dcterms:W3CDTF">2017-01-07T03:42:00Z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y fmtid="{D5CDD505-2E9C-101B-9397-08002B2CF9AE}" pid="3" name="_dlc_DocIdItemGuid">
    <vt:lpwstr>b8910e5b-fa48-43b0-9523-d04251ebe703</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